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10" w:rsidRPr="00345910" w:rsidRDefault="00345910" w:rsidP="00345910">
      <w:pPr>
        <w:pStyle w:val="a3"/>
        <w:ind w:right="-55"/>
        <w:rPr>
          <w:b w:val="0"/>
          <w:bCs w:val="0"/>
          <w:szCs w:val="28"/>
        </w:rPr>
      </w:pPr>
    </w:p>
    <w:tbl>
      <w:tblPr>
        <w:tblW w:w="0" w:type="auto"/>
        <w:tblLook w:val="0000"/>
      </w:tblPr>
      <w:tblGrid>
        <w:gridCol w:w="566"/>
        <w:gridCol w:w="236"/>
        <w:gridCol w:w="4010"/>
        <w:gridCol w:w="3839"/>
        <w:gridCol w:w="236"/>
        <w:gridCol w:w="683"/>
      </w:tblGrid>
      <w:tr w:rsidR="00345910" w:rsidRPr="00345910" w:rsidTr="0067020C">
        <w:tc>
          <w:tcPr>
            <w:tcW w:w="9570" w:type="dxa"/>
            <w:gridSpan w:val="6"/>
          </w:tcPr>
          <w:p w:rsidR="00345910" w:rsidRPr="00345910" w:rsidRDefault="00345910" w:rsidP="0067020C">
            <w:pPr>
              <w:pStyle w:val="a3"/>
              <w:rPr>
                <w:szCs w:val="28"/>
              </w:rPr>
            </w:pPr>
            <w:r w:rsidRPr="00345910">
              <w:rPr>
                <w:szCs w:val="28"/>
              </w:rPr>
              <w:t xml:space="preserve">АДМИНИСТРАЦИЯ </w:t>
            </w:r>
          </w:p>
          <w:p w:rsidR="00345910" w:rsidRPr="00345910" w:rsidRDefault="00345910" w:rsidP="0067020C">
            <w:pPr>
              <w:pStyle w:val="a3"/>
              <w:rPr>
                <w:szCs w:val="28"/>
              </w:rPr>
            </w:pPr>
            <w:r w:rsidRPr="00345910">
              <w:rPr>
                <w:szCs w:val="28"/>
              </w:rPr>
              <w:t>КОУРАКСКОГО СЕЛЬСОВЕТА</w:t>
            </w:r>
          </w:p>
          <w:p w:rsidR="00345910" w:rsidRPr="00345910" w:rsidRDefault="00345910" w:rsidP="0067020C">
            <w:pPr>
              <w:pStyle w:val="a3"/>
              <w:rPr>
                <w:szCs w:val="28"/>
              </w:rPr>
            </w:pPr>
            <w:r w:rsidRPr="00345910">
              <w:rPr>
                <w:szCs w:val="28"/>
              </w:rPr>
              <w:t>ТОГУЧИНСКОГО РАЙОНА</w:t>
            </w:r>
          </w:p>
          <w:p w:rsidR="00345910" w:rsidRPr="00345910" w:rsidRDefault="00345910" w:rsidP="0067020C">
            <w:pPr>
              <w:pStyle w:val="a3"/>
              <w:ind w:right="-55"/>
              <w:rPr>
                <w:szCs w:val="28"/>
              </w:rPr>
            </w:pPr>
            <w:r w:rsidRPr="00345910">
              <w:rPr>
                <w:szCs w:val="28"/>
              </w:rPr>
              <w:t>НОВОСИБИРСКОЙ ОБЛАСТИ</w:t>
            </w:r>
          </w:p>
        </w:tc>
      </w:tr>
      <w:tr w:rsidR="00345910" w:rsidRPr="00345910" w:rsidTr="0067020C">
        <w:trPr>
          <w:trHeight w:val="567"/>
        </w:trPr>
        <w:tc>
          <w:tcPr>
            <w:tcW w:w="9570" w:type="dxa"/>
            <w:gridSpan w:val="6"/>
          </w:tcPr>
          <w:p w:rsidR="00345910" w:rsidRPr="00345910" w:rsidRDefault="00345910" w:rsidP="0067020C">
            <w:pPr>
              <w:pStyle w:val="a3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345910" w:rsidRPr="00345910" w:rsidTr="0067020C">
        <w:tc>
          <w:tcPr>
            <w:tcW w:w="9570" w:type="dxa"/>
            <w:gridSpan w:val="6"/>
          </w:tcPr>
          <w:p w:rsidR="00345910" w:rsidRPr="00345910" w:rsidRDefault="00345910" w:rsidP="0067020C">
            <w:pPr>
              <w:pStyle w:val="a3"/>
              <w:ind w:right="-55"/>
              <w:rPr>
                <w:b w:val="0"/>
                <w:bCs w:val="0"/>
                <w:szCs w:val="28"/>
              </w:rPr>
            </w:pPr>
            <w:r w:rsidRPr="00345910">
              <w:rPr>
                <w:szCs w:val="28"/>
              </w:rPr>
              <w:t>ПОСТАНОВЛЕНИЕ</w:t>
            </w:r>
          </w:p>
        </w:tc>
      </w:tr>
      <w:tr w:rsidR="00345910" w:rsidRPr="00345910" w:rsidTr="0067020C">
        <w:trPr>
          <w:trHeight w:val="384"/>
        </w:trPr>
        <w:tc>
          <w:tcPr>
            <w:tcW w:w="9570" w:type="dxa"/>
            <w:gridSpan w:val="6"/>
          </w:tcPr>
          <w:p w:rsidR="00345910" w:rsidRPr="00345910" w:rsidRDefault="00345910" w:rsidP="0067020C">
            <w:pPr>
              <w:pStyle w:val="a3"/>
              <w:ind w:right="-55"/>
              <w:rPr>
                <w:szCs w:val="28"/>
              </w:rPr>
            </w:pPr>
          </w:p>
        </w:tc>
      </w:tr>
      <w:tr w:rsidR="00345910" w:rsidRPr="00345910" w:rsidTr="0067020C">
        <w:tc>
          <w:tcPr>
            <w:tcW w:w="4812" w:type="dxa"/>
            <w:gridSpan w:val="3"/>
            <w:vAlign w:val="center"/>
          </w:tcPr>
          <w:p w:rsidR="00345910" w:rsidRPr="00345910" w:rsidRDefault="00345910" w:rsidP="0067020C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 w:rsidRPr="00345910">
              <w:rPr>
                <w:b w:val="0"/>
                <w:szCs w:val="28"/>
              </w:rPr>
              <w:t xml:space="preserve"> 10.04.2013                                                                      </w:t>
            </w:r>
          </w:p>
        </w:tc>
        <w:tc>
          <w:tcPr>
            <w:tcW w:w="4758" w:type="dxa"/>
            <w:gridSpan w:val="3"/>
            <w:vAlign w:val="center"/>
          </w:tcPr>
          <w:p w:rsidR="00345910" w:rsidRPr="00345910" w:rsidRDefault="00345910" w:rsidP="0067020C">
            <w:pPr>
              <w:pStyle w:val="a3"/>
              <w:ind w:right="-55"/>
              <w:jc w:val="left"/>
              <w:rPr>
                <w:szCs w:val="28"/>
              </w:rPr>
            </w:pPr>
            <w:r w:rsidRPr="00345910">
              <w:rPr>
                <w:szCs w:val="28"/>
              </w:rPr>
              <w:t xml:space="preserve">                          1</w:t>
            </w:r>
            <w:r w:rsidR="00CF7B44">
              <w:rPr>
                <w:szCs w:val="28"/>
              </w:rPr>
              <w:t>3</w:t>
            </w:r>
          </w:p>
        </w:tc>
      </w:tr>
      <w:tr w:rsidR="00345910" w:rsidRPr="00345910" w:rsidTr="0067020C">
        <w:trPr>
          <w:trHeight w:val="404"/>
        </w:trPr>
        <w:tc>
          <w:tcPr>
            <w:tcW w:w="9570" w:type="dxa"/>
            <w:gridSpan w:val="6"/>
          </w:tcPr>
          <w:p w:rsidR="00345910" w:rsidRPr="00345910" w:rsidRDefault="00345910" w:rsidP="0067020C">
            <w:pPr>
              <w:pStyle w:val="a3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345910" w:rsidRPr="00345910" w:rsidTr="0067020C">
        <w:tc>
          <w:tcPr>
            <w:tcW w:w="9570" w:type="dxa"/>
            <w:gridSpan w:val="6"/>
          </w:tcPr>
          <w:p w:rsidR="00345910" w:rsidRPr="00345910" w:rsidRDefault="009C5CD0" w:rsidP="0067020C">
            <w:pPr>
              <w:pStyle w:val="a3"/>
              <w:ind w:right="-55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</w:t>
            </w:r>
            <w:r w:rsidR="00345910" w:rsidRPr="00345910">
              <w:rPr>
                <w:b w:val="0"/>
                <w:bCs w:val="0"/>
                <w:szCs w:val="28"/>
              </w:rPr>
              <w:t>. Коурак</w:t>
            </w:r>
          </w:p>
          <w:p w:rsidR="00345910" w:rsidRPr="00345910" w:rsidRDefault="00345910" w:rsidP="0067020C">
            <w:pPr>
              <w:pStyle w:val="a3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345910" w:rsidRPr="00345910" w:rsidTr="0067020C">
        <w:trPr>
          <w:trHeight w:val="177"/>
        </w:trPr>
        <w:tc>
          <w:tcPr>
            <w:tcW w:w="566" w:type="dxa"/>
          </w:tcPr>
          <w:p w:rsidR="00345910" w:rsidRPr="00345910" w:rsidRDefault="00345910" w:rsidP="0067020C">
            <w:pPr>
              <w:pStyle w:val="a3"/>
              <w:ind w:left="720" w:right="665"/>
              <w:rPr>
                <w:b w:val="0"/>
                <w:bCs w:val="0"/>
                <w:szCs w:val="28"/>
              </w:rPr>
            </w:pPr>
          </w:p>
        </w:tc>
        <w:tc>
          <w:tcPr>
            <w:tcW w:w="236" w:type="dxa"/>
          </w:tcPr>
          <w:p w:rsidR="00345910" w:rsidRPr="00345910" w:rsidRDefault="00345910" w:rsidP="0067020C">
            <w:pPr>
              <w:pStyle w:val="a3"/>
              <w:ind w:left="720" w:right="665"/>
              <w:rPr>
                <w:b w:val="0"/>
                <w:bCs w:val="0"/>
                <w:szCs w:val="28"/>
              </w:rPr>
            </w:pPr>
          </w:p>
        </w:tc>
        <w:tc>
          <w:tcPr>
            <w:tcW w:w="7849" w:type="dxa"/>
            <w:gridSpan w:val="2"/>
          </w:tcPr>
          <w:p w:rsidR="00345910" w:rsidRPr="00345910" w:rsidRDefault="00345910" w:rsidP="0067020C">
            <w:pPr>
              <w:pStyle w:val="a3"/>
              <w:tabs>
                <w:tab w:val="left" w:pos="252"/>
                <w:tab w:val="left" w:pos="432"/>
                <w:tab w:val="left" w:pos="8172"/>
              </w:tabs>
              <w:ind w:left="72" w:right="-109" w:firstLine="180"/>
              <w:rPr>
                <w:b w:val="0"/>
                <w:bCs w:val="0"/>
                <w:szCs w:val="28"/>
              </w:rPr>
            </w:pPr>
            <w:r w:rsidRPr="00345910">
              <w:rPr>
                <w:b w:val="0"/>
                <w:bCs w:val="0"/>
                <w:szCs w:val="28"/>
              </w:rPr>
              <w:t xml:space="preserve">Об утверждении порядка общественного обсуждения размещения заказов на поставки товаров, работ, услуг для муниципальных нужд Тогучинского района Новосибирской области  на сумму свыше одного миллиарда рублей </w:t>
            </w:r>
          </w:p>
        </w:tc>
        <w:tc>
          <w:tcPr>
            <w:tcW w:w="236" w:type="dxa"/>
          </w:tcPr>
          <w:p w:rsidR="00345910" w:rsidRPr="00345910" w:rsidRDefault="00345910" w:rsidP="0067020C">
            <w:pPr>
              <w:pStyle w:val="a3"/>
              <w:ind w:left="720" w:right="665"/>
              <w:rPr>
                <w:b w:val="0"/>
                <w:bCs w:val="0"/>
                <w:szCs w:val="28"/>
              </w:rPr>
            </w:pPr>
          </w:p>
        </w:tc>
        <w:tc>
          <w:tcPr>
            <w:tcW w:w="683" w:type="dxa"/>
          </w:tcPr>
          <w:p w:rsidR="00345910" w:rsidRPr="00345910" w:rsidRDefault="00345910" w:rsidP="0067020C">
            <w:pPr>
              <w:pStyle w:val="a3"/>
              <w:ind w:left="720" w:right="665"/>
              <w:rPr>
                <w:b w:val="0"/>
                <w:bCs w:val="0"/>
                <w:szCs w:val="28"/>
              </w:rPr>
            </w:pPr>
          </w:p>
        </w:tc>
      </w:tr>
      <w:tr w:rsidR="00345910" w:rsidRPr="00345910" w:rsidTr="0067020C">
        <w:trPr>
          <w:trHeight w:val="466"/>
        </w:trPr>
        <w:tc>
          <w:tcPr>
            <w:tcW w:w="566" w:type="dxa"/>
          </w:tcPr>
          <w:p w:rsidR="00345910" w:rsidRPr="00345910" w:rsidRDefault="00345910" w:rsidP="0067020C">
            <w:pPr>
              <w:pStyle w:val="a3"/>
              <w:rPr>
                <w:b w:val="0"/>
                <w:bCs w:val="0"/>
                <w:szCs w:val="28"/>
              </w:rPr>
            </w:pPr>
          </w:p>
        </w:tc>
        <w:tc>
          <w:tcPr>
            <w:tcW w:w="8085" w:type="dxa"/>
            <w:gridSpan w:val="3"/>
          </w:tcPr>
          <w:p w:rsidR="00345910" w:rsidRPr="00345910" w:rsidRDefault="00345910" w:rsidP="0067020C">
            <w:pPr>
              <w:pStyle w:val="a3"/>
              <w:rPr>
                <w:b w:val="0"/>
                <w:bCs w:val="0"/>
                <w:szCs w:val="28"/>
              </w:rPr>
            </w:pPr>
          </w:p>
        </w:tc>
        <w:tc>
          <w:tcPr>
            <w:tcW w:w="919" w:type="dxa"/>
            <w:gridSpan w:val="2"/>
          </w:tcPr>
          <w:p w:rsidR="00345910" w:rsidRPr="00345910" w:rsidRDefault="00345910" w:rsidP="0067020C">
            <w:pPr>
              <w:pStyle w:val="a3"/>
              <w:rPr>
                <w:b w:val="0"/>
                <w:bCs w:val="0"/>
                <w:szCs w:val="28"/>
              </w:rPr>
            </w:pPr>
          </w:p>
        </w:tc>
      </w:tr>
    </w:tbl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proofErr w:type="gramStart"/>
      <w:r w:rsidRPr="00345910">
        <w:rPr>
          <w:b w:val="0"/>
          <w:bCs w:val="0"/>
          <w:szCs w:val="28"/>
        </w:rPr>
        <w:t xml:space="preserve">В соответствии с </w:t>
      </w:r>
      <w:hyperlink r:id="rId4" w:history="1">
        <w:r w:rsidRPr="00345910">
          <w:rPr>
            <w:b w:val="0"/>
            <w:bCs w:val="0"/>
            <w:szCs w:val="28"/>
          </w:rPr>
          <w:t>постановлением</w:t>
        </w:r>
      </w:hyperlink>
      <w:r w:rsidRPr="00345910">
        <w:rPr>
          <w:b w:val="0"/>
          <w:bCs w:val="0"/>
          <w:szCs w:val="28"/>
        </w:rPr>
        <w:t xml:space="preserve"> Правительства Новосибирской области от 25.12.2012 N 604-п "Об утверждении Порядка общественного обсуждения размещения заказов на поставку товаров, выполнение работ, оказание услуг для государственных нужд и нужд бюджетных учреждений Новосибирской области на сумму свыше одного миллиарда рублей", в целях открытости, добросовестной конкуренции и объективности размещения заказов на поставку товаров, выполнение работ, оказание услуг для муниципальных нужд Тогучинского</w:t>
      </w:r>
      <w:proofErr w:type="gramEnd"/>
      <w:r w:rsidRPr="00345910">
        <w:rPr>
          <w:b w:val="0"/>
          <w:bCs w:val="0"/>
          <w:szCs w:val="28"/>
        </w:rPr>
        <w:t xml:space="preserve"> района Новосибирской области на сумму свыше одного миллиарда рублей, администрация Тогучинского района Новосибирской области 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</w:p>
    <w:p w:rsidR="00345910" w:rsidRPr="00345910" w:rsidRDefault="00345910" w:rsidP="00345910">
      <w:pPr>
        <w:jc w:val="both"/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910" w:rsidRPr="00345910" w:rsidRDefault="00345910" w:rsidP="00345910">
      <w:pPr>
        <w:pStyle w:val="a3"/>
        <w:jc w:val="both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1. Утвердить </w:t>
      </w:r>
      <w:hyperlink w:anchor="Par29" w:history="1">
        <w:r w:rsidRPr="00345910">
          <w:rPr>
            <w:b w:val="0"/>
            <w:bCs w:val="0"/>
            <w:szCs w:val="28"/>
          </w:rPr>
          <w:t>Порядок</w:t>
        </w:r>
      </w:hyperlink>
      <w:r w:rsidRPr="00345910">
        <w:rPr>
          <w:b w:val="0"/>
          <w:bCs w:val="0"/>
          <w:szCs w:val="28"/>
        </w:rPr>
        <w:t xml:space="preserve"> общественного обсуждения размещения заказов на поставку товаров, выполнение работ, оказание услуг для муниципальных нужд Коуракского сельсовета Тогучинского района Новосибирской области на сумму свыше одного миллиарда рублей в соответствии с приложением к настоящему постановлению.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2. Опубликовать настоящее постановление в периодическом печатном издании органа местного самоуправления «Коуракский вестник».</w:t>
      </w:r>
    </w:p>
    <w:p w:rsidR="00345910" w:rsidRPr="00345910" w:rsidRDefault="00345910" w:rsidP="00345910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45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91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345910" w:rsidRPr="00345910" w:rsidRDefault="00345910" w:rsidP="00345910">
      <w:pPr>
        <w:pStyle w:val="a5"/>
        <w:spacing w:after="0"/>
        <w:ind w:left="0"/>
        <w:jc w:val="both"/>
        <w:rPr>
          <w:sz w:val="28"/>
          <w:szCs w:val="28"/>
        </w:rPr>
      </w:pPr>
    </w:p>
    <w:p w:rsidR="00345910" w:rsidRPr="00345910" w:rsidRDefault="00345910" w:rsidP="00345910">
      <w:pPr>
        <w:pStyle w:val="a5"/>
        <w:spacing w:after="0"/>
        <w:ind w:left="0"/>
        <w:jc w:val="both"/>
        <w:rPr>
          <w:sz w:val="28"/>
          <w:szCs w:val="28"/>
        </w:rPr>
      </w:pPr>
      <w:r w:rsidRPr="00345910">
        <w:rPr>
          <w:sz w:val="28"/>
          <w:szCs w:val="28"/>
        </w:rPr>
        <w:t>И.о. Главы администрации                                                         Д.Г.Сгибнев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lastRenderedPageBreak/>
        <w:t xml:space="preserve">                                                                                                      Приложение </w:t>
      </w: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к постановлению</w:t>
      </w: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администрации Тогучинского района</w:t>
      </w: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Новосибирской области</w:t>
      </w: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от 10.04.2013 №12</w:t>
      </w:r>
    </w:p>
    <w:p w:rsidR="00345910" w:rsidRPr="00345910" w:rsidRDefault="00345910" w:rsidP="00345910">
      <w:pPr>
        <w:pStyle w:val="a3"/>
        <w:jc w:val="right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ПОРЯДОК ОБЩЕСТВЕННОГО ОБСУЖДЕНИЯ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 РАЗМЕЩЕНИЯ ЗАКАЗОВ НА ПОСТАВКУ ТОВАРОВ,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 ВЫПОЛНЕНИЕ РАБОТ, ОКАЗАНИЕ УСЛУГ 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ДЛЯ МУНИЦИПАЛЬНЫХ НУЖД КОУРАКСКОГО СЕЛЬСОВЕТА ТОГУЧИНСКОГО РАЙОНА </w:t>
      </w:r>
      <w:bookmarkStart w:id="0" w:name="Par29"/>
      <w:bookmarkEnd w:id="0"/>
      <w:r w:rsidRPr="00345910">
        <w:rPr>
          <w:b w:val="0"/>
          <w:bCs w:val="0"/>
          <w:szCs w:val="28"/>
        </w:rPr>
        <w:t xml:space="preserve">НОВОСИБИРСКОЙ ОБЛАСТИ НА СУММУ 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СВЫШЕ ОДНОГО МИЛЛИАРДА РУБЛЕЙ</w:t>
      </w:r>
    </w:p>
    <w:p w:rsidR="00345910" w:rsidRPr="00345910" w:rsidRDefault="00345910" w:rsidP="0034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1. Общие положения</w:t>
      </w:r>
    </w:p>
    <w:p w:rsidR="00345910" w:rsidRPr="00345910" w:rsidRDefault="00345910" w:rsidP="00345910">
      <w:pPr>
        <w:pStyle w:val="a3"/>
        <w:jc w:val="both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1.1. </w:t>
      </w:r>
      <w:proofErr w:type="gramStart"/>
      <w:r w:rsidRPr="00345910">
        <w:rPr>
          <w:b w:val="0"/>
          <w:bCs w:val="0"/>
          <w:szCs w:val="28"/>
        </w:rPr>
        <w:t>Порядок общественного обсуждения размещения заказов на поставку товаров, выполнение работ, оказание услуг для муниципальных нужд Тогучинского района Новосибирской области на сумму свыше одного миллиарда рублей регулирует деятельность муниципальных заказчиков и иных заказчиков Тогучинского района Новосибирской области (далее - заказчики), органов, уполномоченных на размещение заказов для заказчиков (далее - уполномоченный орган), при проведении общественного обсуждения размещения заказов на поставку товаров, выполнение работ, оказание</w:t>
      </w:r>
      <w:proofErr w:type="gramEnd"/>
      <w:r w:rsidRPr="00345910">
        <w:rPr>
          <w:b w:val="0"/>
          <w:bCs w:val="0"/>
          <w:szCs w:val="28"/>
        </w:rPr>
        <w:t xml:space="preserve"> услуг для муниципальных нужд Коуракского сельсовета Тогучинского района Новосибирской области с начальной (максимальной) ценой контракта и (или) гражданско-правового договора (ценой лота) на сумму свыше одного миллиарда рублей (далее - размещение заказа).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1.2. Принципами общественного обсуждения являются открытость и прозрачность общественного обсуждения.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1.2.1. Открытость общественного обсуждения.</w:t>
      </w:r>
    </w:p>
    <w:p w:rsidR="00345910" w:rsidRPr="00345910" w:rsidRDefault="00345910" w:rsidP="00345910">
      <w:pPr>
        <w:pStyle w:val="a3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В общественном обсуждении могут на равных условиях принимать участие юридические лица вне зависимости от организационно-правовой формы, формы собственности, места нахождения и места происхождения капитала, любые физические лица, в том числе индивидуальные предприниматели, а также государственные органы, органы государственной власти и органы местного самоуправления (далее - участники).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1.2.2. Прозрачность общественного обсуждения.</w:t>
      </w:r>
    </w:p>
    <w:p w:rsidR="00345910" w:rsidRPr="00345910" w:rsidRDefault="00345910" w:rsidP="00345910">
      <w:pPr>
        <w:pStyle w:val="a3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Вся информация, касающаяся проведения общественного обсуждения, размещается заказчиками на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proofErr w:type="spellStart"/>
      <w:r w:rsidRPr="00345910">
        <w:rPr>
          <w:b w:val="0"/>
          <w:bCs w:val="0"/>
          <w:szCs w:val="28"/>
        </w:rPr>
        <w:t>www.zakupki.gov.ru</w:t>
      </w:r>
      <w:proofErr w:type="spellEnd"/>
      <w:r w:rsidRPr="00345910">
        <w:rPr>
          <w:b w:val="0"/>
          <w:bCs w:val="0"/>
          <w:szCs w:val="28"/>
        </w:rPr>
        <w:t xml:space="preserve"> (далее - официальный сайт).</w:t>
      </w:r>
    </w:p>
    <w:p w:rsidR="00345910" w:rsidRPr="00345910" w:rsidRDefault="00345910" w:rsidP="00345910">
      <w:pPr>
        <w:pStyle w:val="a3"/>
        <w:jc w:val="both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lastRenderedPageBreak/>
        <w:t>2. Процедура проведения общественного обсуждения</w:t>
      </w:r>
    </w:p>
    <w:p w:rsidR="00345910" w:rsidRPr="00345910" w:rsidRDefault="00345910" w:rsidP="00345910">
      <w:pPr>
        <w:pStyle w:val="a3"/>
        <w:rPr>
          <w:b w:val="0"/>
          <w:bCs w:val="0"/>
          <w:szCs w:val="28"/>
        </w:rPr>
      </w:pP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2.1. Общественное обсуждение проводится в два этапа: первый этап - обсуждение заказов на официальном сайте, второй этап - проведение заказчиком (уполномоченным органом) очного публичного обсуждения.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2.2. Первый этап общественного обсуждения начинается со дня размещения на официальном сайте извещения о проведении торгов и заканчивается не </w:t>
      </w:r>
      <w:proofErr w:type="gramStart"/>
      <w:r w:rsidRPr="00345910">
        <w:rPr>
          <w:b w:val="0"/>
          <w:bCs w:val="0"/>
          <w:szCs w:val="28"/>
        </w:rPr>
        <w:t>позднее</w:t>
      </w:r>
      <w:proofErr w:type="gramEnd"/>
      <w:r w:rsidRPr="00345910">
        <w:rPr>
          <w:b w:val="0"/>
          <w:bCs w:val="0"/>
          <w:szCs w:val="28"/>
        </w:rPr>
        <w:t xml:space="preserve"> чем за 15 дней до даты окончания приема заявок на участие в торгах.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Извещения о проведении торгов на сумму свыше одного миллиарда рублей автоматически размещаются оператором официального сайта в разделе "Общественное обсуждение крупных закупок", представляющем собой интернет-форум. Для обсуждения каждого заказа автоматически создается отдельная тема форума.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Участники общественного обсуждения должны пройти процедуру регистрации на форуме официального сайта.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Любой пользователь после регистрации на форуме вправе принять участие в общественном обсуждении путем размещения сообщения в соответствующей теме форума.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После прохождения регистрации участники получают возможность заполнить анкету, позволяющую систематизировать комментарии по каждой закупке по следующим аспектам заказа: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- целесообразность размещения заказа;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- соответствие документации о торгах требованиям законодательства Российской Федерации;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- обоснованность начальной (минимальной) цены контракта.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Все поступившие на форум комментарии в течение одного рабочего дня проходят </w:t>
      </w:r>
      <w:proofErr w:type="spellStart"/>
      <w:r w:rsidRPr="00345910">
        <w:rPr>
          <w:b w:val="0"/>
          <w:bCs w:val="0"/>
          <w:szCs w:val="28"/>
        </w:rPr>
        <w:t>премодерацию</w:t>
      </w:r>
      <w:proofErr w:type="spellEnd"/>
      <w:r w:rsidRPr="00345910">
        <w:rPr>
          <w:b w:val="0"/>
          <w:bCs w:val="0"/>
          <w:szCs w:val="28"/>
        </w:rPr>
        <w:t xml:space="preserve"> и публикуются на официальном сайте.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В процессе </w:t>
      </w:r>
      <w:proofErr w:type="spellStart"/>
      <w:r w:rsidRPr="00345910">
        <w:rPr>
          <w:b w:val="0"/>
          <w:bCs w:val="0"/>
          <w:szCs w:val="28"/>
        </w:rPr>
        <w:t>премодерации</w:t>
      </w:r>
      <w:proofErr w:type="spellEnd"/>
      <w:r w:rsidRPr="00345910">
        <w:rPr>
          <w:b w:val="0"/>
          <w:bCs w:val="0"/>
          <w:szCs w:val="28"/>
        </w:rPr>
        <w:t xml:space="preserve"> из комментариев исключаются высказывания, нарушающие общепринятые нормы публичной дискуссии, в том числе жаргонизмы, ненормативная лексика, и другие, не относящиеся к предмету общественного обсуждения.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Заказчик (уполномоченный орган) размещает ответы на поступившие комментарии на официальном сайте и направляет ответ на электронную почту автора комментария в течение двух рабочих дней со дня поступления комментария. В случае отсутствия адреса электронной почты ответ направляется участнику с использованием функции форума "Личное сообщение".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Заказчик (уполномоченный орган) оперативно отвечает на поступающие комментарии участников таким образом, чтобы все поступившие комментарии были размещены на официальном сайте не позднее одного рабочего дня после дня завершения первого этапа.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По завершении первого этапа заказчик (уполномоченный орган) формирует промежуточный протокол общественного обсуждения, который </w:t>
      </w:r>
      <w:r w:rsidRPr="00345910">
        <w:rPr>
          <w:b w:val="0"/>
          <w:bCs w:val="0"/>
          <w:szCs w:val="28"/>
        </w:rPr>
        <w:lastRenderedPageBreak/>
        <w:t>содержит все поступившие комментарии и ответы заказчика (уполномоченного органа) на них.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Заказчик (уполномоченный орган) не </w:t>
      </w:r>
      <w:proofErr w:type="gramStart"/>
      <w:r w:rsidRPr="00345910">
        <w:rPr>
          <w:b w:val="0"/>
          <w:bCs w:val="0"/>
          <w:szCs w:val="28"/>
        </w:rPr>
        <w:t>позднее</w:t>
      </w:r>
      <w:proofErr w:type="gramEnd"/>
      <w:r w:rsidRPr="00345910">
        <w:rPr>
          <w:b w:val="0"/>
          <w:bCs w:val="0"/>
          <w:szCs w:val="28"/>
        </w:rPr>
        <w:t xml:space="preserve"> чем за один день до проведения второго этапа общественного обсуждения размещает промежуточный протокол на официальном сайте и направляет его в Управление Федеральной антимонопольной службы по Новосибирской области.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2.3. Второй этап общественного обсуждения проводится в виде очных открытых публичных слушаний.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Публичные слушания должны быть проведены не </w:t>
      </w:r>
      <w:proofErr w:type="gramStart"/>
      <w:r w:rsidRPr="00345910">
        <w:rPr>
          <w:b w:val="0"/>
          <w:bCs w:val="0"/>
          <w:szCs w:val="28"/>
        </w:rPr>
        <w:t>позднее</w:t>
      </w:r>
      <w:proofErr w:type="gramEnd"/>
      <w:r w:rsidRPr="00345910">
        <w:rPr>
          <w:b w:val="0"/>
          <w:bCs w:val="0"/>
          <w:szCs w:val="28"/>
        </w:rPr>
        <w:t xml:space="preserve"> чем за 10 дней до окончания приема заявок на участие в торгах.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Информация о дате, времени и месте проведения публичных слушаний, а также порядке доступа к участию в них, в том числе информация о пропускном режиме, размещается заказчиком (уполномоченным органом) на официальном сайте в виде сообщения в соответствующей теме форума, в которой проходил первый этап обсуждения.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Заказчик (уполномоченный орган) отправляет по электронной почте приглашение принять участие в публичных слушаниях всем участникам первого этапа обсуждения. В случае отсутствия адресов электронной почты участников заказчик (уполномоченный орган) может воспользоваться функцией форума "Личное сообщение".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Публичные слушания являются открытыми, заказчик не имеет право ограничить доступ к участию в них заинтересованных лиц.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На публичных слушаниях могут присутствовать представители контролирующих органов и других органов власти.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В публичных слушаниях обязательно участие руководителя заказчика или иного представителя заказчика.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В ходе публичных слушаний заказчик подводит итоги первого этапа общественного обсуждения, комментирует отдельные поступившие замечания и предложения участников.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Участники публичных слушаний вправе выступать с устными докладами или задавать вопросы заказчику (уполномоченному органу) по поводу целесообразности размещения заказа, обоснованности начальной (максимальной) цены контракта и положений документации о торгах.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В заключени</w:t>
      </w:r>
      <w:proofErr w:type="gramStart"/>
      <w:r w:rsidRPr="00345910">
        <w:rPr>
          <w:b w:val="0"/>
          <w:bCs w:val="0"/>
          <w:szCs w:val="28"/>
        </w:rPr>
        <w:t>и</w:t>
      </w:r>
      <w:proofErr w:type="gramEnd"/>
      <w:r w:rsidRPr="00345910">
        <w:rPr>
          <w:b w:val="0"/>
          <w:bCs w:val="0"/>
          <w:szCs w:val="28"/>
        </w:rPr>
        <w:t xml:space="preserve"> публичных слушаний заказчик отвечает на все поступившие от участников вопросы или высказанные ими замечания и предложения.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 xml:space="preserve">По итогам публичных слушаний заказчик (уполномоченный орган) не </w:t>
      </w:r>
      <w:proofErr w:type="gramStart"/>
      <w:r w:rsidRPr="00345910">
        <w:rPr>
          <w:b w:val="0"/>
          <w:bCs w:val="0"/>
          <w:szCs w:val="28"/>
        </w:rPr>
        <w:t>позднее</w:t>
      </w:r>
      <w:proofErr w:type="gramEnd"/>
      <w:r w:rsidRPr="00345910">
        <w:rPr>
          <w:b w:val="0"/>
          <w:bCs w:val="0"/>
          <w:szCs w:val="28"/>
        </w:rPr>
        <w:t xml:space="preserve"> чем за семь дней до дня окончания приема заявок на участие в торгах формирует и размещает на официальном сайте в разделе "Изменения и разъяснения к заказу" итоговый протокол, содержащий одно из двух возможных мотивированных решений: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- внесение изменений в документацию в соответствии с результатами общественного обсуждения;</w:t>
      </w:r>
    </w:p>
    <w:p w:rsidR="00345910" w:rsidRPr="00345910" w:rsidRDefault="00345910" w:rsidP="00345910">
      <w:pPr>
        <w:pStyle w:val="a3"/>
        <w:ind w:firstLine="708"/>
        <w:jc w:val="both"/>
        <w:rPr>
          <w:b w:val="0"/>
          <w:bCs w:val="0"/>
          <w:szCs w:val="28"/>
        </w:rPr>
      </w:pPr>
      <w:r w:rsidRPr="00345910">
        <w:rPr>
          <w:b w:val="0"/>
          <w:bCs w:val="0"/>
          <w:szCs w:val="28"/>
        </w:rPr>
        <w:t>- продолжение процедуры размещения заказа без внесения изменений.</w:t>
      </w:r>
    </w:p>
    <w:p w:rsidR="005E0CBC" w:rsidRPr="00345910" w:rsidRDefault="005E0CBC">
      <w:pPr>
        <w:rPr>
          <w:rFonts w:ascii="Times New Roman" w:hAnsi="Times New Roman" w:cs="Times New Roman"/>
          <w:sz w:val="28"/>
          <w:szCs w:val="28"/>
        </w:rPr>
      </w:pPr>
    </w:p>
    <w:sectPr w:rsidR="005E0CBC" w:rsidRPr="00345910" w:rsidSect="0027198F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10"/>
    <w:rsid w:val="001217FA"/>
    <w:rsid w:val="00345910"/>
    <w:rsid w:val="005E0CBC"/>
    <w:rsid w:val="006B7CE3"/>
    <w:rsid w:val="009C5CD0"/>
    <w:rsid w:val="00C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3459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459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3459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459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63F5DC8A65D31BC852B2FB7061073C00E6590FE9709F1B976915B0D7D24F26C5D44D10218B29179DFCBCz7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1329</Words>
  <Characters>7578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2013-04-12T04:05:00Z</dcterms:created>
  <dcterms:modified xsi:type="dcterms:W3CDTF">2010-02-06T03:16:00Z</dcterms:modified>
</cp:coreProperties>
</file>