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Совет депутатов</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Коуракского сельсовета</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Тогучинского района</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Новосибирской области</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Pr>
          <w:color w:val="000000"/>
          <w:sz w:val="28"/>
          <w:szCs w:val="28"/>
        </w:rPr>
        <w:t>РЕШЕНИЕ</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Четвертой сессии пятого созыва</w:t>
      </w:r>
      <w:bookmarkStart w:id="0" w:name="_GoBack"/>
      <w:bookmarkEnd w:id="0"/>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от 20.11.2015 года                    № 19</w:t>
      </w:r>
    </w:p>
    <w:p w:rsidR="00336D27" w:rsidRPr="00336D27" w:rsidRDefault="00336D27" w:rsidP="00336D27">
      <w:pPr>
        <w:pStyle w:val="a3"/>
        <w:shd w:val="clear" w:color="auto" w:fill="FFFFFF"/>
        <w:spacing w:before="0" w:beforeAutospacing="0" w:after="0" w:afterAutospacing="0"/>
        <w:jc w:val="center"/>
        <w:rPr>
          <w:color w:val="000000"/>
          <w:sz w:val="28"/>
          <w:szCs w:val="28"/>
        </w:rPr>
      </w:pPr>
      <w:proofErr w:type="spellStart"/>
      <w:r w:rsidRPr="00336D27">
        <w:rPr>
          <w:color w:val="000000"/>
          <w:sz w:val="28"/>
          <w:szCs w:val="28"/>
        </w:rPr>
        <w:t>с</w:t>
      </w:r>
      <w:proofErr w:type="gramStart"/>
      <w:r w:rsidRPr="00336D27">
        <w:rPr>
          <w:color w:val="000000"/>
          <w:sz w:val="28"/>
          <w:szCs w:val="28"/>
        </w:rPr>
        <w:t>.К</w:t>
      </w:r>
      <w:proofErr w:type="gramEnd"/>
      <w:r w:rsidRPr="00336D27">
        <w:rPr>
          <w:color w:val="000000"/>
          <w:sz w:val="28"/>
          <w:szCs w:val="28"/>
        </w:rPr>
        <w:t>оурак</w:t>
      </w:r>
      <w:proofErr w:type="spellEnd"/>
    </w:p>
    <w:p w:rsidR="00336D27" w:rsidRPr="00336D27" w:rsidRDefault="00336D27" w:rsidP="00336D27">
      <w:pPr>
        <w:pStyle w:val="a3"/>
        <w:shd w:val="clear" w:color="auto" w:fill="FFFFFF"/>
        <w:spacing w:before="0" w:beforeAutospacing="0" w:after="0" w:afterAutospacing="0"/>
        <w:jc w:val="center"/>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"О проекте бюджета Коуракского сельсовета Тогучинского района Новосибирской области на 2016 год и плановый период 2017 и 2018 годов"</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rStyle w:val="a4"/>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rStyle w:val="a4"/>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rStyle w:val="a4"/>
          <w:color w:val="000000"/>
          <w:sz w:val="28"/>
          <w:szCs w:val="28"/>
        </w:rPr>
        <w:t>Совет депутатов Коуракского сельсовета Тогучинского района Новосибирской области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rStyle w:val="a4"/>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rStyle w:val="a4"/>
          <w:color w:val="000000"/>
          <w:sz w:val="28"/>
          <w:szCs w:val="28"/>
        </w:rPr>
        <w:t>РЕШИЛ:</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Утвердить основные характеристики бюджета Коуракского сельсовета Тогучинского района Новосибирской области (далее -  бюджет района) на 2016 год:</w:t>
      </w:r>
    </w:p>
    <w:p w:rsidR="00336D27" w:rsidRPr="00336D27" w:rsidRDefault="00336D27" w:rsidP="00336D27">
      <w:pPr>
        <w:pStyle w:val="a3"/>
        <w:shd w:val="clear" w:color="auto" w:fill="FFFFFF"/>
        <w:spacing w:before="0" w:beforeAutospacing="0" w:after="0" w:afterAutospacing="0"/>
        <w:rPr>
          <w:color w:val="000000"/>
          <w:sz w:val="28"/>
          <w:szCs w:val="28"/>
        </w:rPr>
      </w:pPr>
      <w:proofErr w:type="gramStart"/>
      <w:r w:rsidRPr="00336D27">
        <w:rPr>
          <w:color w:val="000000"/>
          <w:sz w:val="28"/>
          <w:szCs w:val="28"/>
        </w:rPr>
        <w:t>1) прогнозируемый общий объем доходов бюджета поселения в сумме 11 621,7 тыс. рублей, в том числе объем безвозмездных поступлений в сумме 8 511,0 тыс. рублей, из них объем межбюджетных трансфертов, получаемых из других бюджетов бюджетной системы Российской Федерации, в сумме 8 511,0 рублей, в том числе объем субсидий, субвенций и иных межбюджетных трансфертов, имеющих целевое назначение, в сумме 1193,7 рублей;</w:t>
      </w:r>
      <w:proofErr w:type="gramEnd"/>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общий объем расходов бюджета поселения в сумме 11 621,7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дефицит бюджета поселения в сумме 0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Утвердить основные характеристики проекта бюджета поселения  на 2017 год и на 2018 год:</w:t>
      </w:r>
    </w:p>
    <w:p w:rsidR="00336D27" w:rsidRPr="00336D27" w:rsidRDefault="00336D27" w:rsidP="00336D27">
      <w:pPr>
        <w:pStyle w:val="a3"/>
        <w:shd w:val="clear" w:color="auto" w:fill="FFFFFF"/>
        <w:spacing w:before="0" w:beforeAutospacing="0" w:after="0" w:afterAutospacing="0"/>
        <w:rPr>
          <w:color w:val="000000"/>
          <w:sz w:val="28"/>
          <w:szCs w:val="28"/>
        </w:rPr>
      </w:pPr>
      <w:proofErr w:type="gramStart"/>
      <w:r w:rsidRPr="00336D27">
        <w:rPr>
          <w:color w:val="000000"/>
          <w:sz w:val="28"/>
          <w:szCs w:val="28"/>
        </w:rPr>
        <w:t>1) прогнозируемый общий объем доходов бюджета поселения на 2017 год в сумме 6 331,3 тыс. рублей, в том числе объем безвозмездных поступлений в сумме 3 542,0 тыс. рублей, из них объем межбюджетных трансфертов, получаемых из других бюджетов бюджетной системы Российской Федерации, в сумме 3 542,0 тыс. рублей, в том числе объем субсидий, субвенций и иных межбюджетных трансфертов, имеющих целевое назначение</w:t>
      </w:r>
      <w:proofErr w:type="gramEnd"/>
      <w:r w:rsidRPr="00336D27">
        <w:rPr>
          <w:color w:val="000000"/>
          <w:sz w:val="28"/>
          <w:szCs w:val="28"/>
        </w:rPr>
        <w:t xml:space="preserve">, в сумме 0,1 тыс. рублей; на 2018 год в сумме 6 406,3 тыс. </w:t>
      </w:r>
      <w:proofErr w:type="gramStart"/>
      <w:r w:rsidRPr="00336D27">
        <w:rPr>
          <w:color w:val="000000"/>
          <w:sz w:val="28"/>
          <w:szCs w:val="28"/>
        </w:rPr>
        <w:t>рублей</w:t>
      </w:r>
      <w:proofErr w:type="gramEnd"/>
      <w:r w:rsidRPr="00336D27">
        <w:rPr>
          <w:color w:val="000000"/>
          <w:sz w:val="28"/>
          <w:szCs w:val="28"/>
        </w:rPr>
        <w:t xml:space="preserve"> в том числе объем безвозмездных поступлений в сумме 3 508,6 тыс. рублей, из них объем межбюджетных трансфертов, получаемых из других бюджетов бюджетной системы Российской Федерации, в сумме 3 508,0 тыс. рублей, в </w:t>
      </w:r>
      <w:r w:rsidRPr="00336D27">
        <w:rPr>
          <w:color w:val="000000"/>
          <w:sz w:val="28"/>
          <w:szCs w:val="28"/>
        </w:rPr>
        <w:lastRenderedPageBreak/>
        <w:t>том числе объем субсидий, субвенций и иных межбюджетных трансфертов, имеющих целевое назначение, в сумме 0,1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общий объем расходов бюджета поселения на 2017 год в сумме 6 331,3 тыс. рублей, в том числе условно утвержденные расходы в сумме 158,3 тыс. рублей, и на 2018 год в сумме 6 406,3 тыс. рублей, в том числе условно утвержденные расходы в сумме 320,3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дефицит бюджета поселения на 2017 год в сумме 0 тыс. рублей, дефицит  бюджета поселения на 2018 год в сумме 0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Установить перечень главных администраторов доходов бюджета Коуракского сельсовета Тогучинского района Новосибирской области района согласно приложению №1 к настоящему Решению, в том числе:</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перечень главных администраторов доходов бюджета Коуракского сельсовета Тогучинского района Новосибирской области таблица 1;</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перечень главных администраторов  безвозмездных поступлений из областного и районного бюджета таблица 2;</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4. Установить перечень главных </w:t>
      </w:r>
      <w:proofErr w:type="gramStart"/>
      <w:r w:rsidRPr="00336D27">
        <w:rPr>
          <w:color w:val="000000"/>
          <w:sz w:val="28"/>
          <w:szCs w:val="28"/>
        </w:rPr>
        <w:t>администраторов источников финансирования дефицита  бюджета</w:t>
      </w:r>
      <w:proofErr w:type="gramEnd"/>
      <w:r w:rsidRPr="00336D27">
        <w:rPr>
          <w:color w:val="000000"/>
          <w:sz w:val="28"/>
          <w:szCs w:val="28"/>
        </w:rPr>
        <w:t xml:space="preserve"> Коуракского сельсовета Тогучинского района Новосибирской области  согласно приложению 2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5. </w:t>
      </w:r>
      <w:proofErr w:type="gramStart"/>
      <w:r w:rsidRPr="00336D27">
        <w:rPr>
          <w:color w:val="000000"/>
          <w:sz w:val="28"/>
          <w:szCs w:val="28"/>
        </w:rPr>
        <w:t>Установить, что доходы бюджета поселения на 2016 год и плановый период 2017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336D27">
        <w:rPr>
          <w:color w:val="000000"/>
          <w:sz w:val="28"/>
          <w:szCs w:val="28"/>
        </w:rPr>
        <w:t xml:space="preserve"> </w:t>
      </w:r>
      <w:proofErr w:type="gramStart"/>
      <w:r w:rsidRPr="00336D27">
        <w:rPr>
          <w:color w:val="000000"/>
          <w:sz w:val="28"/>
          <w:szCs w:val="28"/>
        </w:rPr>
        <w:t>образований Новосибирской области (далее - местные бюджеты) от налога на доходы физических лиц, установленных</w:t>
      </w:r>
      <w:r w:rsidRPr="00336D27">
        <w:rPr>
          <w:rStyle w:val="apple-converted-space"/>
          <w:color w:val="000000"/>
          <w:sz w:val="28"/>
          <w:szCs w:val="28"/>
        </w:rPr>
        <w:t> </w:t>
      </w:r>
      <w:hyperlink r:id="rId5" w:history="1">
        <w:r w:rsidRPr="00336D27">
          <w:rPr>
            <w:rStyle w:val="a5"/>
            <w:color w:val="008000"/>
            <w:sz w:val="28"/>
            <w:szCs w:val="28"/>
            <w:u w:val="none"/>
          </w:rPr>
          <w:t>частью 1 статьи 1</w:t>
        </w:r>
      </w:hyperlink>
      <w:r w:rsidRPr="00336D27">
        <w:rPr>
          <w:rStyle w:val="apple-converted-space"/>
          <w:color w:val="000000"/>
          <w:sz w:val="28"/>
          <w:szCs w:val="28"/>
        </w:rPr>
        <w:t> </w:t>
      </w:r>
      <w:r w:rsidRPr="00336D27">
        <w:rPr>
          <w:color w:val="000000"/>
          <w:sz w:val="28"/>
          <w:szCs w:val="28"/>
        </w:rPr>
        <w:t>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roofErr w:type="gramEnd"/>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6. Установить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2016 год и плановый период 2017 и 2018 годов согласно приложению 3 к настоящему Решению в том числе:</w:t>
      </w:r>
    </w:p>
    <w:p w:rsidR="00336D27" w:rsidRPr="00336D27" w:rsidRDefault="00336D27" w:rsidP="00336D27">
      <w:pPr>
        <w:pStyle w:val="a3"/>
        <w:shd w:val="clear" w:color="auto" w:fill="FFFFFF"/>
        <w:spacing w:before="0" w:beforeAutospacing="0" w:after="0" w:afterAutospacing="0"/>
        <w:rPr>
          <w:color w:val="000000"/>
          <w:sz w:val="28"/>
          <w:szCs w:val="28"/>
        </w:rPr>
      </w:pPr>
      <w:proofErr w:type="gramStart"/>
      <w:r w:rsidRPr="00336D27">
        <w:rPr>
          <w:color w:val="000000"/>
          <w:sz w:val="28"/>
          <w:szCs w:val="28"/>
        </w:rPr>
        <w:t>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(таблица 1);</w:t>
      </w:r>
      <w:proofErr w:type="gramEnd"/>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lastRenderedPageBreak/>
        <w:t>2) неустановленные бюджетным законодательством Российской Федерации нормативы распределения доходов между бюджетами бюджетной система Российской Федерации в части безвозмездных поступлений из областного бюджета (таблица 2);</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7. Установить, что МУП  «</w:t>
      </w:r>
      <w:proofErr w:type="spellStart"/>
      <w:r w:rsidRPr="00336D27">
        <w:rPr>
          <w:color w:val="000000"/>
          <w:sz w:val="28"/>
          <w:szCs w:val="28"/>
        </w:rPr>
        <w:t>Коуракское</w:t>
      </w:r>
      <w:proofErr w:type="spellEnd"/>
      <w:r w:rsidRPr="00336D27">
        <w:rPr>
          <w:color w:val="000000"/>
          <w:sz w:val="28"/>
          <w:szCs w:val="28"/>
        </w:rPr>
        <w:t>» использующие муниципальное имущество Коуракского сельсовета Тогучинского района Новосибирской области освобождаются от перечисления в бюджет поселения части прибыли, оставшейся после уплаты налогов и иных обязательных платежей.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8. Установить в пределах общего объема расходов, установленного пунктом 1  настоящего Решения, распределение бюджетных:</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6D27">
        <w:rPr>
          <w:color w:val="000000"/>
          <w:sz w:val="28"/>
          <w:szCs w:val="28"/>
        </w:rPr>
        <w:t>видов расходов классификации расходов бюджетов</w:t>
      </w:r>
      <w:proofErr w:type="gramEnd"/>
      <w:r w:rsidRPr="00336D27">
        <w:rPr>
          <w:color w:val="000000"/>
          <w:sz w:val="28"/>
          <w:szCs w:val="28"/>
        </w:rPr>
        <w:t>:</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а) на 2016 год согласно таблице 1 приложения № 4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б) на 2017-2018 годы согласно таблице 2 приложения № 4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2) по целевым статьям (муниципальным программам и непрограммным направлениям деятельности), группам и подгруппам </w:t>
      </w:r>
      <w:proofErr w:type="gramStart"/>
      <w:r w:rsidRPr="00336D27">
        <w:rPr>
          <w:color w:val="000000"/>
          <w:sz w:val="28"/>
          <w:szCs w:val="28"/>
        </w:rPr>
        <w:t>видов расходов классификации расходов бюджетов</w:t>
      </w:r>
      <w:proofErr w:type="gramEnd"/>
      <w:r w:rsidRPr="00336D27">
        <w:rPr>
          <w:color w:val="000000"/>
          <w:sz w:val="28"/>
          <w:szCs w:val="28"/>
        </w:rPr>
        <w:t>:</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а) на 2016 год согласно таблице 1 приложения № 5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б) на 2017-2018 годы согласно таблице 2 приложения № 5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9. Утвердить ведомственную структуру расходов бюджета поселения:</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на 216 год согласно таблице 1 приложения № 6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на 2017-2018 годы согласно таблице 2 приложения № 6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10. </w:t>
      </w:r>
      <w:proofErr w:type="gramStart"/>
      <w:r w:rsidRPr="00336D27">
        <w:rPr>
          <w:color w:val="000000"/>
          <w:sz w:val="28"/>
          <w:szCs w:val="28"/>
        </w:rPr>
        <w:t>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органов местного самоуправления Коуракского сельсовета Тогучинского района Новосибирской области, и в пределах бюджетных ассигнований, предусмотренных ведомственной структурой расходов бюджета поселения на 2016 год и на 2017-2018 годы</w:t>
      </w:r>
      <w:proofErr w:type="gramEnd"/>
      <w:r w:rsidRPr="00336D27">
        <w:rPr>
          <w:color w:val="000000"/>
          <w:sz w:val="28"/>
          <w:szCs w:val="28"/>
        </w:rPr>
        <w:t xml:space="preserve"> по соответствующим целевым статьям и виду расходов согласно приложению № 7 к настоящему Решению, в порядке, установленном администрацией Коуракского сельсовета Тогучинского района Новосибирской области.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Предоставить субсидию за счет бюджета поселения МУП «</w:t>
      </w:r>
      <w:proofErr w:type="spellStart"/>
      <w:r w:rsidRPr="00336D27">
        <w:rPr>
          <w:color w:val="000000"/>
          <w:sz w:val="28"/>
          <w:szCs w:val="28"/>
        </w:rPr>
        <w:t>Коуракское</w:t>
      </w:r>
      <w:proofErr w:type="spellEnd"/>
      <w:r w:rsidRPr="00336D27">
        <w:rPr>
          <w:color w:val="000000"/>
          <w:sz w:val="28"/>
          <w:szCs w:val="28"/>
        </w:rPr>
        <w:t>» на 2016 год  в размере 0,0 тыс. рублей, на 2017-2018 годы – 0,0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lastRenderedPageBreak/>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11. Использование бюджетных ассигнований, предусмотренных администрацией Коуракского сельсовета Тогучинского района Новосибирской области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12</w:t>
      </w:r>
      <w:r w:rsidRPr="00336D27">
        <w:rPr>
          <w:rStyle w:val="a4"/>
          <w:color w:val="000000"/>
          <w:sz w:val="28"/>
          <w:szCs w:val="28"/>
        </w:rPr>
        <w:t>.</w:t>
      </w:r>
      <w:r w:rsidRPr="00336D27">
        <w:rPr>
          <w:rStyle w:val="apple-converted-space"/>
          <w:b/>
          <w:bCs/>
          <w:color w:val="000000"/>
          <w:sz w:val="28"/>
          <w:szCs w:val="28"/>
        </w:rPr>
        <w:t> </w:t>
      </w:r>
      <w:r w:rsidRPr="00336D27">
        <w:rPr>
          <w:color w:val="000000"/>
          <w:sz w:val="28"/>
          <w:szCs w:val="28"/>
        </w:rPr>
        <w:t>Установить, что муниципальные учреждения Коуракского сельсовета Тогучинского района Новосибирской области, органы местного самоуправления Коуракского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в размере 100 процентов суммы договора (муниципального контракта) - по договорам (муниципальным контрактам):</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а) о предоставлении услуг связи, услуг проживания в гостиницах;</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б) о подписке на периодические издания и об их приобретении;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в) об обучении на курсах повышения квалификации;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г) о приобретении ави</w:t>
      </w:r>
      <w:proofErr w:type="gramStart"/>
      <w:r w:rsidRPr="00336D27">
        <w:rPr>
          <w:color w:val="000000"/>
          <w:sz w:val="28"/>
          <w:szCs w:val="28"/>
        </w:rPr>
        <w:t>а-</w:t>
      </w:r>
      <w:proofErr w:type="gramEnd"/>
      <w:r w:rsidRPr="00336D27">
        <w:rPr>
          <w:color w:val="000000"/>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д) страхования;</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е) подлежащим оплате за счет средств, полученных от иной приносящей доход деятельности;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ж) аренды;</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4) в размере 100 процентов суммы договора (муниципального контракта) - по распоряжению администрации Коуракского сельсовета Тогучинского района Новосибирской области.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13. Установить, что средства, поступающие во временное распоряжение муниципальных учреждений Коуракского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исполнение бюджета Коуракского сельсовета Тогучинского района Новосибирской области.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lastRenderedPageBreak/>
        <w:t>14.Утвердить  иные межбюджетные трансферты:</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1) Осуществление градостроительной деятельности на 2016 год в сумме 6,9 тыс. рублей,  2017 год в сумме 6,9 тыс. рублей, 2018 год в сумме 6,9 тыс. рублей согласно таблице</w:t>
      </w:r>
      <w:proofErr w:type="gramStart"/>
      <w:r w:rsidRPr="00336D27">
        <w:rPr>
          <w:color w:val="000000"/>
          <w:sz w:val="28"/>
          <w:szCs w:val="28"/>
        </w:rPr>
        <w:t>1</w:t>
      </w:r>
      <w:proofErr w:type="gramEnd"/>
      <w:r w:rsidRPr="00336D27">
        <w:rPr>
          <w:color w:val="000000"/>
          <w:sz w:val="28"/>
          <w:szCs w:val="28"/>
        </w:rPr>
        <w:t>.1,  2.1 приложения № 8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2) Осуществление муниципального внешнего финансового контроля на 2016 год  в сумме 23,3 тыс. руб., на 2017-2018 годы в сумме 23,3 тыс. рублей согласно таблице 1.2, 2.2  приложения № 8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15. Утвердить объем бюджетных ассигнований дорожного фонда Коуракского сельсовета Тогучинского района Новосибирской области: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на 2016 год в сумме 1 173,9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на 2017 год в сумме 1 367,6 тыс. рублей и на 2018 год в сумме 1 445,9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16. Установить источники финансирования дефицита бюджета поселения:</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на 2016 год согласно таблице 1 приложения 9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на 2017 - 2018 годы согласно таблице 2 приложения 9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rStyle w:val="a4"/>
          <w:color w:val="000000"/>
          <w:sz w:val="28"/>
          <w:szCs w:val="28"/>
        </w:rPr>
        <w:t> </w:t>
      </w:r>
      <w:r w:rsidRPr="00336D27">
        <w:rPr>
          <w:color w:val="000000"/>
          <w:sz w:val="28"/>
          <w:szCs w:val="28"/>
        </w:rPr>
        <w:t>17</w:t>
      </w:r>
      <w:r w:rsidRPr="00336D27">
        <w:rPr>
          <w:rStyle w:val="a4"/>
          <w:color w:val="000000"/>
          <w:sz w:val="28"/>
          <w:szCs w:val="28"/>
        </w:rPr>
        <w:t>.</w:t>
      </w:r>
      <w:r w:rsidRPr="00336D27">
        <w:rPr>
          <w:rStyle w:val="apple-converted-space"/>
          <w:b/>
          <w:bCs/>
          <w:color w:val="000000"/>
          <w:sz w:val="28"/>
          <w:szCs w:val="28"/>
        </w:rPr>
        <w:t> </w:t>
      </w:r>
      <w:r w:rsidRPr="00336D27">
        <w:rPr>
          <w:color w:val="000000"/>
          <w:sz w:val="28"/>
          <w:szCs w:val="28"/>
        </w:rPr>
        <w:t>Утвердить Программу муниципальных внутренних заимствований  Коуракского сельсовета Тогучинского района Новосибирской области на 2016 год согласно</w:t>
      </w:r>
      <w:r w:rsidRPr="00336D27">
        <w:rPr>
          <w:rStyle w:val="apple-converted-space"/>
          <w:color w:val="000000"/>
          <w:sz w:val="28"/>
          <w:szCs w:val="28"/>
        </w:rPr>
        <w:t> </w:t>
      </w:r>
      <w:hyperlink r:id="rId6" w:history="1">
        <w:r w:rsidRPr="00336D27">
          <w:rPr>
            <w:rStyle w:val="a5"/>
            <w:color w:val="008000"/>
            <w:sz w:val="28"/>
            <w:szCs w:val="28"/>
            <w:u w:val="none"/>
          </w:rPr>
          <w:t>таблице 1</w:t>
        </w:r>
      </w:hyperlink>
      <w:r w:rsidRPr="00336D27">
        <w:rPr>
          <w:rStyle w:val="apple-converted-space"/>
          <w:color w:val="000000"/>
          <w:sz w:val="28"/>
          <w:szCs w:val="28"/>
        </w:rPr>
        <w:t> </w:t>
      </w:r>
      <w:r w:rsidRPr="00336D27">
        <w:rPr>
          <w:color w:val="000000"/>
          <w:sz w:val="28"/>
          <w:szCs w:val="28"/>
        </w:rPr>
        <w:t>приложения 10 к настоящему Решению, на 2017 - 2018 годы согласно</w:t>
      </w:r>
      <w:r w:rsidRPr="00336D27">
        <w:rPr>
          <w:rStyle w:val="apple-converted-space"/>
          <w:color w:val="000000"/>
          <w:sz w:val="28"/>
          <w:szCs w:val="28"/>
        </w:rPr>
        <w:t> </w:t>
      </w:r>
      <w:hyperlink r:id="rId7" w:history="1">
        <w:r w:rsidRPr="00336D27">
          <w:rPr>
            <w:rStyle w:val="a5"/>
            <w:color w:val="008000"/>
            <w:sz w:val="28"/>
            <w:szCs w:val="28"/>
            <w:u w:val="none"/>
          </w:rPr>
          <w:t>таблице 2</w:t>
        </w:r>
      </w:hyperlink>
      <w:r w:rsidRPr="00336D27">
        <w:rPr>
          <w:rStyle w:val="apple-converted-space"/>
          <w:color w:val="000000"/>
          <w:sz w:val="28"/>
          <w:szCs w:val="28"/>
        </w:rPr>
        <w:t> </w:t>
      </w:r>
      <w:r w:rsidRPr="00336D27">
        <w:rPr>
          <w:color w:val="000000"/>
          <w:sz w:val="28"/>
          <w:szCs w:val="28"/>
        </w:rPr>
        <w:t>приложения 10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18. </w:t>
      </w:r>
      <w:proofErr w:type="gramStart"/>
      <w:r w:rsidRPr="00336D27">
        <w:rPr>
          <w:color w:val="000000"/>
          <w:sz w:val="28"/>
          <w:szCs w:val="28"/>
        </w:rPr>
        <w:t>Установить верхний предел муниципального внутреннего долга  Коуракского сельсовета Тогучинского района Новосибирской области на 1 января 2017 года в сумме 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 на 1 января 2018 года в сумме 0,0тыс. рублей, в том числе верхний предел долга по  муниципальным</w:t>
      </w:r>
      <w:proofErr w:type="gramEnd"/>
      <w:r w:rsidRPr="00336D27">
        <w:rPr>
          <w:color w:val="000000"/>
          <w:sz w:val="28"/>
          <w:szCs w:val="28"/>
        </w:rPr>
        <w:t xml:space="preserve"> гарантиям Коуракского сельсовета Тогучинского района Новосибирской области в сумме  0,0 тыс. рублей, и на 1 января 2019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19. Установить предельный объем муниципального внутреннего долга Коуракского сельсовета Тогучинского района Новосибирской области на 2016 год в сумме 1 555,35 тыс. рублей, на 2017 год в сумме 1 394,65 тыс. рублей и на 2018 год в сумме 1 448,85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lastRenderedPageBreak/>
        <w:t>20</w:t>
      </w:r>
      <w:r w:rsidRPr="00336D27">
        <w:rPr>
          <w:rStyle w:val="a4"/>
          <w:color w:val="000000"/>
          <w:sz w:val="28"/>
          <w:szCs w:val="28"/>
        </w:rPr>
        <w:t>.</w:t>
      </w:r>
      <w:r w:rsidRPr="00336D27">
        <w:rPr>
          <w:rStyle w:val="apple-converted-space"/>
          <w:b/>
          <w:bCs/>
          <w:color w:val="000000"/>
          <w:sz w:val="28"/>
          <w:szCs w:val="28"/>
        </w:rPr>
        <w:t> </w:t>
      </w:r>
      <w:r w:rsidRPr="00336D27">
        <w:rPr>
          <w:color w:val="000000"/>
          <w:sz w:val="28"/>
          <w:szCs w:val="28"/>
        </w:rPr>
        <w:t>Утвердить программу муниципальных гарантий Коуракского сельсовета Тогучинского района Новосибирской области в валюте Российской Федерации: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на 2016 год согласно таблице 1 приложения 11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на 2017 - 2018 годы согласно таблице 2 приложения 11 к настоящему Решению.</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21. Установить лимиты предоставления бюджетных кредитов из бюджета поселения:</w:t>
      </w:r>
    </w:p>
    <w:p w:rsidR="00336D27" w:rsidRPr="00336D27" w:rsidRDefault="00336D27" w:rsidP="00336D27">
      <w:pPr>
        <w:pStyle w:val="a3"/>
        <w:shd w:val="clear" w:color="auto" w:fill="FFFFFF"/>
        <w:spacing w:before="0" w:beforeAutospacing="0" w:after="0" w:afterAutospacing="0"/>
        <w:rPr>
          <w:color w:val="000000"/>
          <w:sz w:val="28"/>
          <w:szCs w:val="28"/>
        </w:rPr>
      </w:pPr>
      <w:proofErr w:type="gramStart"/>
      <w:r w:rsidRPr="00336D27">
        <w:rPr>
          <w:color w:val="000000"/>
          <w:sz w:val="28"/>
          <w:szCs w:val="28"/>
        </w:rPr>
        <w:t>1) в 2016 году: выдаваемых на срок в пределах финансового года ‒ в сумме 0,0 тыс. рублей; на срок, выходящий за пределы финансового года, ‒ в сумме 0,0 тыс. рублей;</w:t>
      </w:r>
      <w:proofErr w:type="gramEnd"/>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в 2017 году: выдаваемых на срок в пределах финансового года ‒ в сумме 0,0 тыс. рублей; на срок, выходящий за пределы финансового года, ‒ в сумме 0,0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в 2018 году: выдаваемых на срок в пределах финансового года ‒ в сумме 0,0 тыс. рублей; на срок, выходящий за пределы финансового года, ‒ в сумме 0,0 тыс. рублей.</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22. </w:t>
      </w:r>
      <w:proofErr w:type="gramStart"/>
      <w:r w:rsidRPr="00336D27">
        <w:rPr>
          <w:color w:val="000000"/>
          <w:sz w:val="28"/>
          <w:szCs w:val="28"/>
        </w:rPr>
        <w:t>Установить, что не использованные по состоянию на 1 января 2016 года остатки целевых средств, поступившие из областного и районного бюджета в бюджет поселения в 2015 году, подлежат возврату в доход областного или районного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или районного</w:t>
      </w:r>
      <w:proofErr w:type="gramEnd"/>
      <w:r w:rsidRPr="00336D27">
        <w:rPr>
          <w:color w:val="000000"/>
          <w:sz w:val="28"/>
          <w:szCs w:val="28"/>
        </w:rPr>
        <w:t xml:space="preserve"> бюджета, </w:t>
      </w:r>
      <w:proofErr w:type="gramStart"/>
      <w:r w:rsidRPr="00336D27">
        <w:rPr>
          <w:color w:val="000000"/>
          <w:sz w:val="28"/>
          <w:szCs w:val="28"/>
        </w:rPr>
        <w:t>утвержденными</w:t>
      </w:r>
      <w:proofErr w:type="gramEnd"/>
      <w:r w:rsidRPr="00336D27">
        <w:rPr>
          <w:color w:val="000000"/>
          <w:sz w:val="28"/>
          <w:szCs w:val="28"/>
        </w:rPr>
        <w:t xml:space="preserve"> приказом Министерства финансов Российской Федерации от 11.06.2009 года № 51-н</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 При установлении наличия потребности в них, в соответствии с решением главного администратора доходов областного бюджета, остатки целевых средств могут быть использованы </w:t>
      </w:r>
      <w:proofErr w:type="gramStart"/>
      <w:r w:rsidRPr="00336D27">
        <w:rPr>
          <w:color w:val="000000"/>
          <w:sz w:val="28"/>
          <w:szCs w:val="28"/>
        </w:rPr>
        <w:t>на те</w:t>
      </w:r>
      <w:proofErr w:type="gramEnd"/>
      <w:r w:rsidRPr="00336D27">
        <w:rPr>
          <w:color w:val="000000"/>
          <w:sz w:val="28"/>
          <w:szCs w:val="28"/>
        </w:rPr>
        <w:t xml:space="preserve"> же цели.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xml:space="preserve">23.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Коуракского сельсовета  вправе принимать решения о заключении мировых соглашений, </w:t>
      </w:r>
      <w:proofErr w:type="gramStart"/>
      <w:r w:rsidRPr="00336D27">
        <w:rPr>
          <w:color w:val="000000"/>
          <w:sz w:val="28"/>
          <w:szCs w:val="28"/>
        </w:rPr>
        <w:t>устанавливая условия</w:t>
      </w:r>
      <w:proofErr w:type="gramEnd"/>
      <w:r w:rsidRPr="00336D27">
        <w:rPr>
          <w:color w:val="000000"/>
          <w:sz w:val="28"/>
          <w:szCs w:val="28"/>
        </w:rPr>
        <w:t xml:space="preserve"> урегулирования задолженности должников по денежным обязательствам перед </w:t>
      </w:r>
      <w:proofErr w:type="spellStart"/>
      <w:r w:rsidRPr="00336D27">
        <w:rPr>
          <w:color w:val="000000"/>
          <w:sz w:val="28"/>
          <w:szCs w:val="28"/>
        </w:rPr>
        <w:t>Коуракским</w:t>
      </w:r>
      <w:proofErr w:type="spellEnd"/>
      <w:r w:rsidRPr="00336D27">
        <w:rPr>
          <w:color w:val="000000"/>
          <w:sz w:val="28"/>
          <w:szCs w:val="28"/>
        </w:rPr>
        <w:t xml:space="preserve"> сельсоветом.</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предоставление отступного;</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обмен требований на доли в уставном капитале должника;</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предоставление акций, конвертируемых в акции облигаций или иных ценных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бумаг;</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4) новация обязательств;</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5) прощение долга;</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lastRenderedPageBreak/>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24. Установить в соответствии с</w:t>
      </w:r>
      <w:r w:rsidRPr="00336D27">
        <w:rPr>
          <w:rStyle w:val="apple-converted-space"/>
          <w:color w:val="000000"/>
          <w:sz w:val="28"/>
          <w:szCs w:val="28"/>
        </w:rPr>
        <w:t> </w:t>
      </w:r>
      <w:hyperlink r:id="rId8" w:history="1">
        <w:r w:rsidRPr="00336D27">
          <w:rPr>
            <w:rStyle w:val="a5"/>
            <w:color w:val="008000"/>
            <w:sz w:val="28"/>
            <w:szCs w:val="28"/>
            <w:u w:val="none"/>
          </w:rPr>
          <w:t>пунктом 3 статьи 217</w:t>
        </w:r>
      </w:hyperlink>
      <w:r w:rsidRPr="00336D27">
        <w:rPr>
          <w:rStyle w:val="apple-converted-space"/>
          <w:color w:val="000000"/>
          <w:sz w:val="28"/>
          <w:szCs w:val="28"/>
        </w:rPr>
        <w:t> </w:t>
      </w:r>
      <w:r w:rsidRPr="00336D27">
        <w:rPr>
          <w:color w:val="000000"/>
          <w:sz w:val="28"/>
          <w:szCs w:val="28"/>
        </w:rPr>
        <w:t>Бюджетного кодекса Российской Федерации следующие основания для внесения в 2016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поселения на предоставление субсидий на конкурсной основе (грантов) физическим и юридическим лицам;</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336D27">
        <w:rPr>
          <w:color w:val="000000"/>
          <w:sz w:val="28"/>
          <w:szCs w:val="28"/>
        </w:rPr>
        <w:t>дств пр</w:t>
      </w:r>
      <w:proofErr w:type="gramEnd"/>
      <w:r w:rsidRPr="00336D27">
        <w:rPr>
          <w:color w:val="000000"/>
          <w:sz w:val="28"/>
          <w:szCs w:val="28"/>
        </w:rPr>
        <w:t>и изменении порядка применения бюджетной классификации, установленной Министерством финансов Российской Федерации.</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25. Опубликовать настоящее Решение в периодическом печатном издании органа местного самоуправления «</w:t>
      </w:r>
      <w:proofErr w:type="spellStart"/>
      <w:r w:rsidRPr="00336D27">
        <w:rPr>
          <w:color w:val="000000"/>
          <w:sz w:val="28"/>
          <w:szCs w:val="28"/>
        </w:rPr>
        <w:t>Коуракский</w:t>
      </w:r>
      <w:proofErr w:type="spellEnd"/>
      <w:r w:rsidRPr="00336D27">
        <w:rPr>
          <w:color w:val="000000"/>
          <w:sz w:val="28"/>
          <w:szCs w:val="28"/>
        </w:rPr>
        <w:t xml:space="preserve"> вестник».</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26. Настоящее Решение вступает в силу с 1 января 2016 года.</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w:t>
      </w:r>
    </w:p>
    <w:p w:rsidR="00336D27" w:rsidRPr="00336D27" w:rsidRDefault="00336D27" w:rsidP="00336D27">
      <w:pPr>
        <w:pStyle w:val="a3"/>
        <w:shd w:val="clear" w:color="auto" w:fill="FFFFFF"/>
        <w:spacing w:before="0" w:beforeAutospacing="0" w:after="0" w:afterAutospacing="0"/>
        <w:rPr>
          <w:color w:val="000000"/>
          <w:sz w:val="28"/>
          <w:szCs w:val="28"/>
        </w:rPr>
      </w:pPr>
      <w:r w:rsidRPr="00336D27">
        <w:rPr>
          <w:color w:val="000000"/>
          <w:sz w:val="28"/>
          <w:szCs w:val="28"/>
        </w:rPr>
        <w:t>            Глава Коуракского сельсовета:                                                               </w:t>
      </w:r>
      <w:proofErr w:type="spellStart"/>
      <w:r w:rsidRPr="00336D27">
        <w:rPr>
          <w:color w:val="000000"/>
          <w:sz w:val="28"/>
          <w:szCs w:val="28"/>
        </w:rPr>
        <w:t>Т.В.Наймушина</w:t>
      </w:r>
      <w:proofErr w:type="spellEnd"/>
    </w:p>
    <w:sectPr w:rsidR="00336D27" w:rsidRPr="00336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27"/>
    <w:rsid w:val="001705AC"/>
    <w:rsid w:val="00336D27"/>
    <w:rsid w:val="0099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6D27"/>
    <w:rPr>
      <w:b/>
      <w:bCs/>
    </w:rPr>
  </w:style>
  <w:style w:type="character" w:customStyle="1" w:styleId="apple-converted-space">
    <w:name w:val="apple-converted-space"/>
    <w:basedOn w:val="a0"/>
    <w:rsid w:val="00336D27"/>
  </w:style>
  <w:style w:type="character" w:styleId="a5">
    <w:name w:val="Hyperlink"/>
    <w:basedOn w:val="a0"/>
    <w:uiPriority w:val="99"/>
    <w:semiHidden/>
    <w:unhideWhenUsed/>
    <w:rsid w:val="00336D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6D27"/>
    <w:rPr>
      <w:b/>
      <w:bCs/>
    </w:rPr>
  </w:style>
  <w:style w:type="character" w:customStyle="1" w:styleId="apple-converted-space">
    <w:name w:val="apple-converted-space"/>
    <w:basedOn w:val="a0"/>
    <w:rsid w:val="00336D27"/>
  </w:style>
  <w:style w:type="character" w:styleId="a5">
    <w:name w:val="Hyperlink"/>
    <w:basedOn w:val="a0"/>
    <w:uiPriority w:val="99"/>
    <w:semiHidden/>
    <w:unhideWhenUsed/>
    <w:rsid w:val="00336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ettings" Target="settings.xml"/><Relationship Id="rId7" Type="http://schemas.openxmlformats.org/officeDocument/2006/relationships/hyperlink" Target="consultantplus://offline/ref=9C87F42BE133C62614F120CC96624C2FB26307237C8CBB66DC61FE6100260630A76FEB395DD8B5939D4E39m6l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C87F42BE133C62614F120CC96624C2FB26307237C8CBB66DC61FE6100260630A76FEB395DD8B5939D4E38m6lEF" TargetMode="External"/><Relationship Id="rId5" Type="http://schemas.openxmlformats.org/officeDocument/2006/relationships/hyperlink" Target="consultantplus://offline/ref=A9C657FE0ECE561881AAF72A7DF29AC1D23C5C50FBBDC58F6304237DB615C0038189414B9B5945413FD615g1E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2</cp:revision>
  <dcterms:created xsi:type="dcterms:W3CDTF">2016-06-27T09:29:00Z</dcterms:created>
  <dcterms:modified xsi:type="dcterms:W3CDTF">2016-06-27T09:29:00Z</dcterms:modified>
</cp:coreProperties>
</file>