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nil"/>
          <w:left w:val="nil"/>
          <w:bottom w:val="nil"/>
          <w:right w:val="nil"/>
        </w:tblBorders>
        <w:tblLayout w:type="fixed"/>
        <w:tblLook w:val="0000" w:firstRow="0" w:lastRow="0" w:firstColumn="0" w:lastColumn="0" w:noHBand="0" w:noVBand="0"/>
      </w:tblPr>
      <w:tblGrid>
        <w:gridCol w:w="9747"/>
      </w:tblGrid>
      <w:tr w:rsidR="009A2823" w:rsidRPr="009A2823" w:rsidTr="00E378D3">
        <w:trPr>
          <w:trHeight w:val="1223"/>
        </w:trPr>
        <w:tc>
          <w:tcPr>
            <w:tcW w:w="9747" w:type="dxa"/>
          </w:tcPr>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r w:rsidRPr="009A2823">
              <w:rPr>
                <w:rFonts w:ascii="Times New Roman" w:eastAsia="Times New Roman" w:hAnsi="Times New Roman" w:cs="Times New Roman"/>
                <w:caps/>
                <w:sz w:val="28"/>
                <w:szCs w:val="28"/>
                <w:lang w:eastAsia="ru-RU"/>
              </w:rPr>
              <w:t>АДМИНИСТРАЦИЯ</w:t>
            </w:r>
          </w:p>
          <w:p w:rsidR="009A2823" w:rsidRPr="009A2823" w:rsidRDefault="009A2823" w:rsidP="009A2823">
            <w:pPr>
              <w:spacing w:after="0" w:line="240" w:lineRule="auto"/>
              <w:ind w:left="-142"/>
              <w:jc w:val="center"/>
              <w:rPr>
                <w:rFonts w:ascii="Times New Roman" w:eastAsia="Times New Roman" w:hAnsi="Times New Roman" w:cs="Times New Roman"/>
                <w:sz w:val="28"/>
                <w:szCs w:val="28"/>
                <w:lang w:eastAsia="ru-RU"/>
              </w:rPr>
            </w:pPr>
            <w:r w:rsidRPr="009A2823">
              <w:rPr>
                <w:rFonts w:ascii="Times New Roman" w:eastAsia="Times New Roman" w:hAnsi="Times New Roman" w:cs="Times New Roman"/>
                <w:caps/>
                <w:sz w:val="28"/>
                <w:szCs w:val="28"/>
                <w:lang w:eastAsia="ru-RU"/>
              </w:rPr>
              <w:t>КОУРАКСКОГО сельсовета</w:t>
            </w:r>
          </w:p>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r w:rsidRPr="009A2823">
              <w:rPr>
                <w:rFonts w:ascii="Times New Roman" w:eastAsia="Times New Roman" w:hAnsi="Times New Roman" w:cs="Times New Roman"/>
                <w:caps/>
                <w:sz w:val="28"/>
                <w:szCs w:val="28"/>
                <w:lang w:eastAsia="ru-RU"/>
              </w:rPr>
              <w:t>ТОГУЧИНСКОГО района</w:t>
            </w:r>
          </w:p>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r w:rsidRPr="009A2823">
              <w:rPr>
                <w:rFonts w:ascii="Times New Roman" w:eastAsia="Times New Roman" w:hAnsi="Times New Roman" w:cs="Times New Roman"/>
                <w:caps/>
                <w:sz w:val="28"/>
                <w:szCs w:val="28"/>
                <w:lang w:eastAsia="ru-RU"/>
              </w:rPr>
              <w:t>НОВОСИБИРСКОЙ ОБЛАСТИ</w:t>
            </w:r>
          </w:p>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p>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p>
          <w:p w:rsidR="009A2823" w:rsidRPr="009A2823" w:rsidRDefault="009A2823" w:rsidP="009A2823">
            <w:pPr>
              <w:tabs>
                <w:tab w:val="left" w:pos="1418"/>
              </w:tabs>
              <w:spacing w:after="0" w:line="240" w:lineRule="auto"/>
              <w:ind w:left="-142"/>
              <w:jc w:val="center"/>
              <w:rPr>
                <w:rFonts w:ascii="Times New Roman" w:eastAsia="Times New Roman" w:hAnsi="Times New Roman" w:cs="Times New Roman"/>
                <w:caps/>
                <w:sz w:val="28"/>
                <w:szCs w:val="28"/>
                <w:lang w:eastAsia="ru-RU"/>
              </w:rPr>
            </w:pPr>
          </w:p>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r w:rsidRPr="009A2823">
              <w:rPr>
                <w:rFonts w:ascii="Times New Roman" w:eastAsia="Times New Roman" w:hAnsi="Times New Roman" w:cs="Times New Roman"/>
                <w:caps/>
                <w:sz w:val="28"/>
                <w:szCs w:val="28"/>
                <w:lang w:eastAsia="ru-RU"/>
              </w:rPr>
              <w:t>ПОСТАНОВЛЕНИЕ</w:t>
            </w:r>
          </w:p>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p>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p>
          <w:p w:rsidR="009A2823" w:rsidRPr="009A2823" w:rsidRDefault="009A2823" w:rsidP="009A2823">
            <w:pPr>
              <w:spacing w:after="0" w:line="240" w:lineRule="auto"/>
              <w:ind w:left="-142"/>
              <w:jc w:val="center"/>
              <w:rPr>
                <w:rFonts w:ascii="Times New Roman" w:eastAsia="Times New Roman" w:hAnsi="Times New Roman" w:cs="Times New Roman"/>
                <w:caps/>
                <w:sz w:val="28"/>
                <w:szCs w:val="28"/>
                <w:lang w:eastAsia="ru-RU"/>
              </w:rPr>
            </w:pPr>
          </w:p>
          <w:p w:rsidR="009A2823" w:rsidRPr="009A2823" w:rsidRDefault="009A2823" w:rsidP="009A2823">
            <w:pPr>
              <w:spacing w:after="0" w:line="240" w:lineRule="auto"/>
              <w:ind w:left="-142" w:right="171"/>
              <w:jc w:val="center"/>
              <w:rPr>
                <w:rFonts w:ascii="Times New Roman" w:eastAsia="Times New Roman" w:hAnsi="Times New Roman" w:cs="Times New Roman"/>
                <w:sz w:val="28"/>
                <w:szCs w:val="28"/>
                <w:lang w:eastAsia="ru-RU"/>
              </w:rPr>
            </w:pPr>
            <w:r w:rsidRPr="009A2823">
              <w:rPr>
                <w:rFonts w:ascii="Times New Roman" w:eastAsia="Times New Roman" w:hAnsi="Times New Roman" w:cs="Times New Roman"/>
                <w:sz w:val="28"/>
                <w:szCs w:val="28"/>
                <w:lang w:eastAsia="ru-RU"/>
              </w:rPr>
              <w:t>17.10.2016                                  с. Коурак                                            № 164</w:t>
            </w:r>
          </w:p>
          <w:p w:rsidR="009A2823" w:rsidRPr="009A2823" w:rsidRDefault="009A2823" w:rsidP="009A2823">
            <w:pPr>
              <w:tabs>
                <w:tab w:val="left" w:pos="567"/>
                <w:tab w:val="left" w:pos="709"/>
                <w:tab w:val="left" w:pos="1134"/>
                <w:tab w:val="left" w:pos="1276"/>
              </w:tabs>
              <w:spacing w:after="0" w:line="240" w:lineRule="auto"/>
              <w:ind w:left="-142"/>
              <w:jc w:val="center"/>
              <w:rPr>
                <w:rFonts w:ascii="Times New Roman" w:eastAsia="Times New Roman" w:hAnsi="Times New Roman" w:cs="Times New Roman"/>
                <w:sz w:val="28"/>
                <w:szCs w:val="28"/>
                <w:lang w:eastAsia="ru-RU"/>
              </w:rPr>
            </w:pPr>
          </w:p>
          <w:p w:rsidR="009A2823" w:rsidRPr="009A2823" w:rsidRDefault="009A2823" w:rsidP="009A2823">
            <w:pPr>
              <w:spacing w:after="0" w:line="240" w:lineRule="atLeast"/>
              <w:ind w:left="-142"/>
              <w:jc w:val="center"/>
              <w:rPr>
                <w:rFonts w:ascii="Times New Roman" w:eastAsia="Times New Roman" w:hAnsi="Times New Roman" w:cs="Times New Roman"/>
                <w:sz w:val="28"/>
                <w:szCs w:val="28"/>
                <w:lang w:eastAsia="ru-RU"/>
              </w:rPr>
            </w:pPr>
          </w:p>
          <w:p w:rsidR="009A2823" w:rsidRPr="009A2823" w:rsidRDefault="009A2823" w:rsidP="009A2823">
            <w:pPr>
              <w:autoSpaceDE w:val="0"/>
              <w:autoSpaceDN w:val="0"/>
              <w:adjustRightInd w:val="0"/>
              <w:spacing w:after="0" w:line="240" w:lineRule="auto"/>
              <w:jc w:val="center"/>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9A2823" w:rsidRPr="009A2823" w:rsidRDefault="009A2823" w:rsidP="009A2823">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В соответствии со статьей 219 Бюджетного кодекса Российской Федерации, в целях организации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ПОСТАНОВЛЯЮ: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1. Утвердить прилагаемый Порядок </w:t>
            </w:r>
            <w:proofErr w:type="gramStart"/>
            <w:r w:rsidRPr="009A2823">
              <w:rPr>
                <w:rFonts w:ascii="Times New Roman" w:eastAsia="Calibri" w:hAnsi="Times New Roman" w:cs="Times New Roman"/>
                <w:color w:val="000000"/>
                <w:sz w:val="28"/>
                <w:szCs w:val="28"/>
              </w:rPr>
              <w:t>санкционирования оплаты денежных обязательств получателей средств бюджета</w:t>
            </w:r>
            <w:proofErr w:type="gramEnd"/>
            <w:r w:rsidRPr="009A2823">
              <w:rPr>
                <w:rFonts w:ascii="Times New Roman" w:eastAsia="Calibri" w:hAnsi="Times New Roman" w:cs="Times New Roman"/>
                <w:color w:val="000000"/>
                <w:sz w:val="28"/>
                <w:szCs w:val="28"/>
              </w:rPr>
              <w:t xml:space="preserve"> Коуракского сельсовета Тогучинского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согласно приложения.</w:t>
            </w:r>
          </w:p>
          <w:p w:rsidR="009A2823" w:rsidRPr="009A2823" w:rsidRDefault="009A2823" w:rsidP="009A282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A2823">
              <w:rPr>
                <w:rFonts w:ascii="Times New Roman" w:eastAsia="Times New Roman" w:hAnsi="Times New Roman" w:cs="Times New Roman"/>
                <w:sz w:val="28"/>
                <w:szCs w:val="28"/>
                <w:lang w:eastAsia="ru-RU"/>
              </w:rPr>
              <w:t xml:space="preserve">     2. </w:t>
            </w:r>
            <w:r w:rsidRPr="009A2823">
              <w:rPr>
                <w:rFonts w:ascii="Times New Roman" w:eastAsia="Times New Roman" w:hAnsi="Times New Roman" w:cs="Times New Roman"/>
                <w:color w:val="000000"/>
                <w:sz w:val="28"/>
                <w:szCs w:val="28"/>
                <w:lang w:eastAsia="ru-RU"/>
              </w:rPr>
              <w:t>Опубликовать настоящее постановление в периодическом печатном издании органов местного самоуправления «</w:t>
            </w:r>
            <w:proofErr w:type="spellStart"/>
            <w:r w:rsidRPr="009A2823">
              <w:rPr>
                <w:rFonts w:ascii="Times New Roman" w:eastAsia="Times New Roman" w:hAnsi="Times New Roman" w:cs="Times New Roman"/>
                <w:color w:val="000000"/>
                <w:sz w:val="28"/>
                <w:szCs w:val="28"/>
                <w:lang w:eastAsia="ru-RU"/>
              </w:rPr>
              <w:t>Коуракский</w:t>
            </w:r>
            <w:proofErr w:type="spellEnd"/>
            <w:r w:rsidRPr="009A2823">
              <w:rPr>
                <w:rFonts w:ascii="Times New Roman" w:eastAsia="Times New Roman" w:hAnsi="Times New Roman" w:cs="Times New Roman"/>
                <w:color w:val="000000"/>
                <w:sz w:val="28"/>
                <w:szCs w:val="28"/>
                <w:lang w:eastAsia="ru-RU"/>
              </w:rPr>
              <w:t xml:space="preserve"> Вестник» и на официальном сайте администрации Коуракского сельсовета.</w:t>
            </w:r>
          </w:p>
          <w:p w:rsidR="009A2823" w:rsidRPr="009A2823" w:rsidRDefault="009A2823" w:rsidP="009A2823">
            <w:pPr>
              <w:autoSpaceDE w:val="0"/>
              <w:autoSpaceDN w:val="0"/>
              <w:adjustRightInd w:val="0"/>
              <w:spacing w:after="0" w:line="240" w:lineRule="auto"/>
              <w:ind w:left="440"/>
              <w:jc w:val="both"/>
              <w:rPr>
                <w:rFonts w:ascii="Times New Roman" w:eastAsia="Times New Roman" w:hAnsi="Times New Roman" w:cs="Times New Roman"/>
                <w:sz w:val="28"/>
                <w:szCs w:val="28"/>
                <w:lang w:eastAsia="ru-RU"/>
              </w:rPr>
            </w:pPr>
            <w:r w:rsidRPr="009A2823">
              <w:rPr>
                <w:rFonts w:ascii="Times New Roman" w:eastAsia="Times New Roman" w:hAnsi="Times New Roman" w:cs="Times New Roman"/>
                <w:sz w:val="28"/>
                <w:szCs w:val="28"/>
                <w:lang w:eastAsia="ru-RU"/>
              </w:rPr>
              <w:t xml:space="preserve">3.  </w:t>
            </w:r>
            <w:proofErr w:type="gramStart"/>
            <w:r w:rsidRPr="009A2823">
              <w:rPr>
                <w:rFonts w:ascii="Times New Roman" w:eastAsia="Times New Roman" w:hAnsi="Times New Roman" w:cs="Times New Roman"/>
                <w:sz w:val="28"/>
                <w:szCs w:val="28"/>
                <w:lang w:eastAsia="ru-RU"/>
              </w:rPr>
              <w:t>Контроль за</w:t>
            </w:r>
            <w:proofErr w:type="gramEnd"/>
            <w:r w:rsidRPr="009A2823">
              <w:rPr>
                <w:rFonts w:ascii="Times New Roman" w:eastAsia="Times New Roman" w:hAnsi="Times New Roman" w:cs="Times New Roman"/>
                <w:sz w:val="28"/>
                <w:szCs w:val="28"/>
                <w:lang w:eastAsia="ru-RU"/>
              </w:rPr>
              <w:t xml:space="preserve"> исполнением постановления оставляю за собой.</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p w:rsidR="009A2823" w:rsidRPr="009A2823" w:rsidRDefault="009A2823" w:rsidP="009A2823">
            <w:pPr>
              <w:spacing w:after="0" w:line="240" w:lineRule="auto"/>
              <w:ind w:left="-142"/>
              <w:rPr>
                <w:rFonts w:ascii="Times New Roman" w:eastAsia="Times New Roman" w:hAnsi="Times New Roman" w:cs="Times New Roman"/>
                <w:sz w:val="28"/>
                <w:szCs w:val="28"/>
                <w:lang w:eastAsia="ru-RU"/>
              </w:rPr>
            </w:pPr>
            <w:r w:rsidRPr="009A2823">
              <w:rPr>
                <w:rFonts w:ascii="Times New Roman" w:eastAsia="Times New Roman" w:hAnsi="Times New Roman" w:cs="Times New Roman"/>
                <w:sz w:val="28"/>
                <w:szCs w:val="28"/>
                <w:lang w:eastAsia="ru-RU"/>
              </w:rPr>
              <w:t xml:space="preserve">Глава  Коуракского  сельсовета                                               </w:t>
            </w:r>
          </w:p>
          <w:p w:rsidR="009A2823" w:rsidRPr="009A2823" w:rsidRDefault="009A2823" w:rsidP="009A2823">
            <w:pPr>
              <w:spacing w:after="0" w:line="240" w:lineRule="auto"/>
              <w:ind w:left="-142"/>
              <w:rPr>
                <w:rFonts w:ascii="Times New Roman" w:eastAsia="Times New Roman" w:hAnsi="Times New Roman" w:cs="Times New Roman"/>
                <w:sz w:val="28"/>
                <w:szCs w:val="28"/>
                <w:lang w:eastAsia="ru-RU"/>
              </w:rPr>
            </w:pPr>
            <w:r w:rsidRPr="009A2823">
              <w:rPr>
                <w:rFonts w:ascii="Times New Roman" w:eastAsia="Times New Roman" w:hAnsi="Times New Roman" w:cs="Times New Roman"/>
                <w:sz w:val="28"/>
                <w:szCs w:val="28"/>
                <w:lang w:eastAsia="ru-RU"/>
              </w:rPr>
              <w:t xml:space="preserve">Тогучинского района                                                                         </w:t>
            </w:r>
          </w:p>
          <w:p w:rsidR="009A2823" w:rsidRPr="009A2823" w:rsidRDefault="009A2823" w:rsidP="009A2823">
            <w:pPr>
              <w:spacing w:after="0" w:line="240" w:lineRule="auto"/>
              <w:ind w:left="-142"/>
              <w:rPr>
                <w:rFonts w:ascii="Times New Roman" w:eastAsia="Times New Roman" w:hAnsi="Times New Roman" w:cs="Times New Roman"/>
                <w:sz w:val="28"/>
                <w:szCs w:val="28"/>
                <w:lang w:eastAsia="ru-RU"/>
              </w:rPr>
            </w:pPr>
            <w:r w:rsidRPr="009A2823">
              <w:rPr>
                <w:rFonts w:ascii="Times New Roman" w:eastAsia="Times New Roman" w:hAnsi="Times New Roman" w:cs="Times New Roman"/>
                <w:sz w:val="28"/>
                <w:szCs w:val="28"/>
                <w:lang w:eastAsia="ru-RU"/>
              </w:rPr>
              <w:t xml:space="preserve">Новосибирской области                                                                    </w:t>
            </w:r>
            <w:proofErr w:type="spellStart"/>
            <w:r w:rsidRPr="009A2823">
              <w:rPr>
                <w:rFonts w:ascii="Times New Roman" w:eastAsia="Times New Roman" w:hAnsi="Times New Roman" w:cs="Times New Roman"/>
                <w:sz w:val="28"/>
                <w:szCs w:val="28"/>
                <w:lang w:eastAsia="ru-RU"/>
              </w:rPr>
              <w:t>Т.В.Наймушина</w:t>
            </w:r>
            <w:proofErr w:type="spellEnd"/>
            <w:r w:rsidRPr="009A2823">
              <w:rPr>
                <w:rFonts w:ascii="Times New Roman" w:eastAsia="Times New Roman" w:hAnsi="Times New Roman" w:cs="Times New Roman"/>
                <w:sz w:val="28"/>
                <w:szCs w:val="28"/>
                <w:lang w:eastAsia="ru-RU"/>
              </w:rPr>
              <w:t xml:space="preserve">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tc>
      </w:tr>
      <w:tr w:rsidR="009A2823" w:rsidRPr="009A2823" w:rsidTr="009A2823">
        <w:trPr>
          <w:trHeight w:val="563"/>
        </w:trPr>
        <w:tc>
          <w:tcPr>
            <w:tcW w:w="9747" w:type="dxa"/>
          </w:tcPr>
          <w:p w:rsid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p w:rsid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tc>
      </w:tr>
      <w:tr w:rsidR="009A2823" w:rsidRPr="009A2823" w:rsidTr="00E378D3">
        <w:trPr>
          <w:trHeight w:val="1691"/>
        </w:trPr>
        <w:tc>
          <w:tcPr>
            <w:tcW w:w="9747" w:type="dxa"/>
          </w:tcPr>
          <w:p w:rsidR="009A2823" w:rsidRPr="009A2823" w:rsidRDefault="009A2823" w:rsidP="009A2823">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9A2823">
              <w:rPr>
                <w:rFonts w:ascii="Times New Roman" w:eastAsia="Times New Roman" w:hAnsi="Times New Roman" w:cs="Times New Roman"/>
                <w:lang w:eastAsia="ru-RU"/>
              </w:rPr>
              <w:lastRenderedPageBreak/>
              <w:t>Утверждено</w:t>
            </w:r>
          </w:p>
          <w:p w:rsidR="009A2823" w:rsidRPr="009A2823" w:rsidRDefault="009A2823" w:rsidP="009A2823">
            <w:pPr>
              <w:autoSpaceDE w:val="0"/>
              <w:autoSpaceDN w:val="0"/>
              <w:adjustRightInd w:val="0"/>
              <w:spacing w:after="0" w:line="240" w:lineRule="auto"/>
              <w:jc w:val="right"/>
              <w:rPr>
                <w:rFonts w:ascii="Times New Roman" w:eastAsia="Times New Roman" w:hAnsi="Times New Roman" w:cs="Times New Roman"/>
                <w:lang w:eastAsia="ru-RU"/>
              </w:rPr>
            </w:pPr>
            <w:r w:rsidRPr="009A2823">
              <w:rPr>
                <w:rFonts w:ascii="Times New Roman" w:eastAsia="Times New Roman" w:hAnsi="Times New Roman" w:cs="Times New Roman"/>
                <w:lang w:eastAsia="ru-RU"/>
              </w:rPr>
              <w:t xml:space="preserve">постановлением администрации </w:t>
            </w:r>
          </w:p>
          <w:p w:rsidR="009A2823" w:rsidRPr="009A2823" w:rsidRDefault="009A2823" w:rsidP="009A2823">
            <w:pPr>
              <w:autoSpaceDE w:val="0"/>
              <w:autoSpaceDN w:val="0"/>
              <w:adjustRightInd w:val="0"/>
              <w:spacing w:after="0" w:line="240" w:lineRule="auto"/>
              <w:jc w:val="right"/>
              <w:rPr>
                <w:rFonts w:ascii="Times New Roman" w:eastAsia="Times New Roman" w:hAnsi="Times New Roman" w:cs="Times New Roman"/>
                <w:lang w:eastAsia="ru-RU"/>
              </w:rPr>
            </w:pPr>
            <w:r w:rsidRPr="009A2823">
              <w:rPr>
                <w:rFonts w:ascii="Times New Roman" w:eastAsia="Times New Roman" w:hAnsi="Times New Roman" w:cs="Times New Roman"/>
                <w:lang w:eastAsia="ru-RU"/>
              </w:rPr>
              <w:t>Коуракского сельсовета</w:t>
            </w:r>
          </w:p>
          <w:p w:rsidR="009A2823" w:rsidRPr="009A2823" w:rsidRDefault="009A2823" w:rsidP="009A2823">
            <w:pPr>
              <w:autoSpaceDE w:val="0"/>
              <w:autoSpaceDN w:val="0"/>
              <w:adjustRightInd w:val="0"/>
              <w:spacing w:after="0" w:line="240" w:lineRule="auto"/>
              <w:jc w:val="right"/>
              <w:rPr>
                <w:rFonts w:ascii="Times New Roman" w:eastAsia="Times New Roman" w:hAnsi="Times New Roman" w:cs="Times New Roman"/>
                <w:lang w:eastAsia="ru-RU"/>
              </w:rPr>
            </w:pPr>
            <w:r w:rsidRPr="009A2823">
              <w:rPr>
                <w:rFonts w:ascii="Times New Roman" w:eastAsia="Times New Roman" w:hAnsi="Times New Roman" w:cs="Times New Roman"/>
                <w:lang w:eastAsia="ru-RU"/>
              </w:rPr>
              <w:t>Тогучинского района Новосибирской области</w:t>
            </w:r>
          </w:p>
          <w:p w:rsidR="009A2823" w:rsidRPr="009A2823" w:rsidRDefault="000A1162" w:rsidP="009A2823">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17</w:t>
            </w:r>
            <w:r w:rsidR="009A2823" w:rsidRPr="009A2823">
              <w:rPr>
                <w:rFonts w:ascii="Times New Roman" w:eastAsia="Times New Roman" w:hAnsi="Times New Roman" w:cs="Times New Roman"/>
                <w:lang w:eastAsia="ru-RU"/>
              </w:rPr>
              <w:t>.10.2016г  № 164</w:t>
            </w:r>
          </w:p>
        </w:tc>
      </w:tr>
      <w:tr w:rsidR="009A2823" w:rsidRPr="009A2823" w:rsidTr="00E378D3">
        <w:trPr>
          <w:trHeight w:val="1223"/>
        </w:trPr>
        <w:tc>
          <w:tcPr>
            <w:tcW w:w="9747" w:type="dxa"/>
          </w:tcPr>
          <w:p w:rsidR="009A2823" w:rsidRPr="009A2823" w:rsidRDefault="009A2823" w:rsidP="009A2823">
            <w:pPr>
              <w:autoSpaceDE w:val="0"/>
              <w:autoSpaceDN w:val="0"/>
              <w:adjustRightInd w:val="0"/>
              <w:spacing w:after="0" w:line="240" w:lineRule="auto"/>
              <w:outlineLvl w:val="0"/>
              <w:rPr>
                <w:rFonts w:ascii="Times New Roman" w:eastAsia="Times New Roman" w:hAnsi="Times New Roman" w:cs="Times New Roman"/>
                <w:lang w:eastAsia="ru-RU"/>
              </w:rPr>
            </w:pPr>
            <w:r w:rsidRPr="009A2823">
              <w:rPr>
                <w:rFonts w:ascii="Times New Roman" w:eastAsia="Times New Roman" w:hAnsi="Times New Roman" w:cs="Times New Roman"/>
                <w:sz w:val="28"/>
                <w:szCs w:val="28"/>
                <w:lang w:eastAsia="ru-RU"/>
              </w:rPr>
              <w:t xml:space="preserve">                                                                                   </w:t>
            </w:r>
          </w:p>
          <w:p w:rsidR="009A2823" w:rsidRPr="009A2823" w:rsidRDefault="009A2823" w:rsidP="009A2823">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9A2823">
              <w:rPr>
                <w:rFonts w:ascii="Times New Roman" w:eastAsia="Calibri" w:hAnsi="Times New Roman" w:cs="Times New Roman"/>
                <w:b/>
                <w:color w:val="000000"/>
                <w:sz w:val="28"/>
                <w:szCs w:val="28"/>
              </w:rPr>
              <w:t>Порядок</w:t>
            </w:r>
          </w:p>
          <w:p w:rsidR="009A2823" w:rsidRPr="009A2823" w:rsidRDefault="009A2823" w:rsidP="009A2823">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9A2823">
              <w:rPr>
                <w:rFonts w:ascii="Times New Roman" w:eastAsia="Calibri" w:hAnsi="Times New Roman" w:cs="Times New Roman"/>
                <w:b/>
                <w:color w:val="000000"/>
                <w:sz w:val="28"/>
                <w:szCs w:val="28"/>
              </w:rPr>
              <w:t xml:space="preserve">санкционирования оплаты денежных обязательств  </w:t>
            </w:r>
          </w:p>
          <w:p w:rsidR="009A2823" w:rsidRPr="009A2823" w:rsidRDefault="009A2823" w:rsidP="009A2823">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9A2823">
              <w:rPr>
                <w:rFonts w:ascii="Times New Roman" w:eastAsia="Calibri" w:hAnsi="Times New Roman" w:cs="Times New Roman"/>
                <w:b/>
                <w:color w:val="000000"/>
                <w:sz w:val="28"/>
                <w:szCs w:val="28"/>
              </w:rPr>
              <w:t xml:space="preserve">получателей средств бюджета </w:t>
            </w:r>
          </w:p>
          <w:p w:rsidR="009A2823" w:rsidRPr="009A2823" w:rsidRDefault="009A2823" w:rsidP="009A2823">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9A2823">
              <w:rPr>
                <w:rFonts w:ascii="Times New Roman" w:eastAsia="Calibri" w:hAnsi="Times New Roman" w:cs="Times New Roman"/>
                <w:b/>
                <w:color w:val="000000"/>
                <w:sz w:val="28"/>
                <w:szCs w:val="28"/>
              </w:rPr>
              <w:t>Коуракского сельсовета Тогучинского района Новосибирской области</w:t>
            </w:r>
          </w:p>
          <w:p w:rsidR="009A2823" w:rsidRPr="009A2823" w:rsidRDefault="009A2823" w:rsidP="009A2823">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9A2823">
              <w:rPr>
                <w:rFonts w:ascii="Times New Roman" w:eastAsia="Calibri" w:hAnsi="Times New Roman" w:cs="Times New Roman"/>
                <w:b/>
                <w:color w:val="000000"/>
                <w:sz w:val="28"/>
                <w:szCs w:val="28"/>
              </w:rPr>
              <w:t>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1. Настоящий  Порядок  устанавливает  порядок санкционирования органом, осуществляющим открытие и ведение лицевых счетов,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получателей средств бюджета Коуракского сельсовета Тогучинского района Новосибирской област</w:t>
            </w:r>
            <w:proofErr w:type="gramStart"/>
            <w:r w:rsidRPr="009A2823">
              <w:rPr>
                <w:rFonts w:ascii="Times New Roman" w:eastAsia="Calibri" w:hAnsi="Times New Roman" w:cs="Times New Roman"/>
                <w:color w:val="000000"/>
                <w:sz w:val="28"/>
                <w:szCs w:val="28"/>
              </w:rPr>
              <w:t>и(</w:t>
            </w:r>
            <w:proofErr w:type="gramEnd"/>
            <w:r w:rsidRPr="009A2823">
              <w:rPr>
                <w:rFonts w:ascii="Times New Roman" w:eastAsia="Calibri" w:hAnsi="Times New Roman" w:cs="Times New Roman"/>
                <w:color w:val="000000"/>
                <w:sz w:val="28"/>
                <w:szCs w:val="28"/>
              </w:rPr>
              <w:t xml:space="preserve">далее - получатели средств).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2. </w:t>
            </w:r>
            <w:proofErr w:type="gramStart"/>
            <w:r w:rsidRPr="009A2823">
              <w:rPr>
                <w:rFonts w:ascii="Times New Roman" w:eastAsia="Calibri" w:hAnsi="Times New Roman" w:cs="Times New Roman"/>
                <w:color w:val="000000"/>
                <w:sz w:val="28"/>
                <w:szCs w:val="28"/>
              </w:rPr>
              <w:t>Для  оплаты  денежных обязательств  получатели средств представляют в орган, осуществляющий открытие и ведение лицевых счетов, по месту их обслуживания Заявку на кассовый расход (код по ведомственному классификатору  форм  документов  (далее - код по КФД) 0531801), или Заявку на получение  наличных денег (код по КФД 0531802), или Заявку на получение наличных денежных средств, перечисляемых на карту (код по КФД 0531844) (далее - Заявки</w:t>
            </w:r>
            <w:proofErr w:type="gramEnd"/>
            <w:r w:rsidRPr="009A2823">
              <w:rPr>
                <w:rFonts w:ascii="Times New Roman" w:eastAsia="Calibri" w:hAnsi="Times New Roman" w:cs="Times New Roman"/>
                <w:color w:val="000000"/>
                <w:sz w:val="28"/>
                <w:szCs w:val="28"/>
              </w:rPr>
              <w:t xml:space="preserve">) в порядке, установленном в соответствии с бюджетным законодательством Российской Федерации.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Заявка при наличии электронного документооборота  между получателем средств и органом, осуществляющим открытие и ведение лицевых счетов, представляется в электронном виде с применением электронной цифровой подписи (далее - в электронном виде). При отсутствии электронного документооборота с применением электронной цифровой подписи Заявка представляется  на  бумажном  носителе (далее - на бумажном носителе).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Заявка подписывается руководителем и главным бухгалтером (иными уполномоченными руководителем лицами) получателя средств.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3. Заявка проверяется на наличие в ней следующих реквизитов и показателей: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1) номера соответствующего лицевого счета, открытого получателю средств;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w:t>
            </w:r>
            <w:proofErr w:type="gramStart"/>
            <w:r w:rsidRPr="009A2823">
              <w:rPr>
                <w:rFonts w:ascii="Times New Roman" w:eastAsia="Calibri" w:hAnsi="Times New Roman" w:cs="Times New Roman"/>
                <w:color w:val="000000"/>
                <w:sz w:val="28"/>
                <w:szCs w:val="28"/>
              </w:rPr>
              <w:t xml:space="preserve">2) кодов классификации расходов бюджетов, по которым необходимо произвести кассовый расход (кассовую выплату), а также текстового назначения платежа; </w:t>
            </w:r>
            <w:proofErr w:type="gramEnd"/>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w:t>
            </w:r>
            <w:proofErr w:type="gramStart"/>
            <w:r w:rsidRPr="009A2823">
              <w:rPr>
                <w:rFonts w:ascii="Times New Roman" w:eastAsia="Calibri" w:hAnsi="Times New Roman" w:cs="Times New Roman"/>
                <w:color w:val="000000"/>
                <w:sz w:val="28"/>
                <w:szCs w:val="28"/>
              </w:rPr>
              <w:t xml:space="preserve">3) суммы кассового расхода (кассовой выплаты) и кода валюты в соответствии с Общероссийским классификатором валют, в которой он </w:t>
            </w:r>
            <w:r w:rsidRPr="009A2823">
              <w:rPr>
                <w:rFonts w:ascii="Times New Roman" w:eastAsia="Calibri" w:hAnsi="Times New Roman" w:cs="Times New Roman"/>
                <w:color w:val="000000"/>
                <w:sz w:val="28"/>
                <w:szCs w:val="28"/>
              </w:rPr>
              <w:lastRenderedPageBreak/>
              <w:t xml:space="preserve">должен быть произведен; </w:t>
            </w:r>
            <w:proofErr w:type="gramEnd"/>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4) суммы кассового расхода (кассовой выплаты) в валюте Российской Федерации, в рублевом эквиваленте, исчисленном на дату оформления Заявки;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5) суммы налога на добавленную стоимость (при наличии);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6) вида средств (средства бюджета);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8) данных  для  осуществления  налоговых  и  иных обязательных  платежей в  бюджеты бюджетной системы Российской Федерации (при необходимости);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w:t>
            </w:r>
            <w:proofErr w:type="gramStart"/>
            <w:r w:rsidRPr="009A2823">
              <w:rPr>
                <w:rFonts w:ascii="Times New Roman" w:eastAsia="Calibri" w:hAnsi="Times New Roman" w:cs="Times New Roman"/>
                <w:color w:val="000000"/>
                <w:sz w:val="28"/>
                <w:szCs w:val="28"/>
              </w:rPr>
              <w:t>9)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(далее - муниципальный контракт на поставку товаров, выполнение работ, оказание услуг)  или договора аренды и (или)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w:t>
            </w:r>
            <w:proofErr w:type="gramEnd"/>
            <w:r w:rsidRPr="009A2823">
              <w:rPr>
                <w:rFonts w:ascii="Times New Roman" w:eastAsia="Calibri" w:hAnsi="Times New Roman" w:cs="Times New Roman"/>
                <w:color w:val="000000"/>
                <w:sz w:val="28"/>
                <w:szCs w:val="28"/>
              </w:rPr>
              <w:t xml:space="preserve"> (</w:t>
            </w:r>
            <w:proofErr w:type="gramStart"/>
            <w:r w:rsidRPr="009A2823">
              <w:rPr>
                <w:rFonts w:ascii="Times New Roman" w:eastAsia="Calibri" w:hAnsi="Times New Roman" w:cs="Times New Roman"/>
                <w:color w:val="000000"/>
                <w:sz w:val="28"/>
                <w:szCs w:val="28"/>
              </w:rPr>
              <w:t>или) счет-фактура), выполнении работ, оказании услуг (акт выполненных работ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правовыми актами Новосибирской области (далее - документы, подтверждающие возникновение денежных обязательств),  в соответствии</w:t>
            </w:r>
            <w:proofErr w:type="gramEnd"/>
            <w:r w:rsidRPr="009A2823">
              <w:rPr>
                <w:rFonts w:ascii="Times New Roman" w:eastAsia="Calibri" w:hAnsi="Times New Roman" w:cs="Times New Roman"/>
                <w:color w:val="000000"/>
                <w:sz w:val="28"/>
                <w:szCs w:val="28"/>
              </w:rPr>
              <w:t xml:space="preserve"> с пунктом 6 настоящего Порядка.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Положения подпункта 9 настоящего пункта не применяются: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при проверке Заявки на получение наличных денег или Заявки на получение наличных денежных средств, перечисляемых на карту.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В одной Заявке может содержаться несколько сумм кассовых расходов (кассовых выплат) по разным кодам классификации расходов бюджетов по одному денежному обязательству получателя средств;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4. </w:t>
            </w:r>
            <w:proofErr w:type="gramStart"/>
            <w:r w:rsidRPr="009A2823">
              <w:rPr>
                <w:rFonts w:ascii="Times New Roman" w:eastAsia="Calibri" w:hAnsi="Times New Roman" w:cs="Times New Roman"/>
                <w:color w:val="000000"/>
                <w:sz w:val="28"/>
                <w:szCs w:val="28"/>
              </w:rPr>
              <w:t xml:space="preserve">Получатель  средств для оплаты денежных обязательств, возникающих по муниципальным контрактам на поставку товаров, выполнение работ, оказание услуг, указывает в Заявке в соответствии с требованиями, установленными в подпункте 9 пункта 5 настоящего Порядка, реквизиты и предмет  соответствующего  муниципального  контракта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 </w:t>
            </w:r>
            <w:proofErr w:type="gramEnd"/>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w:t>
            </w:r>
            <w:proofErr w:type="gramStart"/>
            <w:r w:rsidRPr="009A2823">
              <w:rPr>
                <w:rFonts w:ascii="Times New Roman" w:eastAsia="Calibri" w:hAnsi="Times New Roman" w:cs="Times New Roman"/>
                <w:color w:val="000000"/>
                <w:sz w:val="28"/>
                <w:szCs w:val="28"/>
              </w:rPr>
              <w:t>Для  оплаты  денежных обязательств по авансовым платежам в соответствии с условиями муниципального  контракта  на  поставку</w:t>
            </w:r>
            <w:proofErr w:type="gramEnd"/>
            <w:r w:rsidRPr="009A2823">
              <w:rPr>
                <w:rFonts w:ascii="Times New Roman" w:eastAsia="Calibri" w:hAnsi="Times New Roman" w:cs="Times New Roman"/>
                <w:color w:val="000000"/>
                <w:sz w:val="28"/>
                <w:szCs w:val="28"/>
              </w:rPr>
              <w:t xml:space="preserve">  товаров, выполнение работ, оказание услуг в Заявке реквизиты документов, подтверждающих возникновение денежных обязательств, в соответствии с требованиями, установленными в подпункте 9 пункта 5  настоящего Порядка,  могут не указываться.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w:t>
            </w:r>
            <w:proofErr w:type="gramStart"/>
            <w:r w:rsidRPr="009A2823">
              <w:rPr>
                <w:rFonts w:ascii="Times New Roman" w:eastAsia="Calibri" w:hAnsi="Times New Roman" w:cs="Times New Roman"/>
                <w:color w:val="000000"/>
                <w:sz w:val="28"/>
                <w:szCs w:val="28"/>
              </w:rPr>
              <w:t xml:space="preserve">5.Для  подтверждения  возникновения денежного обязательства получатель средств представляет в орган, осуществляющий открытие и ведение лицевых </w:t>
            </w:r>
            <w:r w:rsidRPr="009A2823">
              <w:rPr>
                <w:rFonts w:ascii="Times New Roman" w:eastAsia="Calibri" w:hAnsi="Times New Roman" w:cs="Times New Roman"/>
                <w:color w:val="000000"/>
                <w:sz w:val="28"/>
                <w:szCs w:val="28"/>
              </w:rPr>
              <w:lastRenderedPageBreak/>
              <w:t>счетов, вместе с Заявкой указанные в ней в соответствии с подпунктом  9  пункта  5 и пунктом 6  настоящего  Порядка  соответствующий муниципальный  контракт на поставку товаров, выполнение работ, оказание услуг или договор аренды и (или) документ,  подтверждающий  возникновение денежного обязательства (далее - документ-основание), согласно требованиям,  установленным</w:t>
            </w:r>
            <w:proofErr w:type="gramEnd"/>
            <w:r w:rsidRPr="009A2823">
              <w:rPr>
                <w:rFonts w:ascii="Times New Roman" w:eastAsia="Calibri" w:hAnsi="Times New Roman" w:cs="Times New Roman"/>
                <w:color w:val="000000"/>
                <w:sz w:val="28"/>
                <w:szCs w:val="28"/>
              </w:rPr>
              <w:t xml:space="preserve">  пунктом  9 настоящего  Порядка.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6. Получатель сре</w:t>
            </w:r>
            <w:proofErr w:type="gramStart"/>
            <w:r w:rsidRPr="009A2823">
              <w:rPr>
                <w:rFonts w:ascii="Times New Roman" w:eastAsia="Calibri" w:hAnsi="Times New Roman" w:cs="Times New Roman"/>
                <w:color w:val="000000"/>
                <w:sz w:val="28"/>
                <w:szCs w:val="28"/>
              </w:rPr>
              <w:t>дств  пр</w:t>
            </w:r>
            <w:proofErr w:type="gramEnd"/>
            <w:r w:rsidRPr="009A2823">
              <w:rPr>
                <w:rFonts w:ascii="Times New Roman" w:eastAsia="Calibri" w:hAnsi="Times New Roman" w:cs="Times New Roman"/>
                <w:color w:val="000000"/>
                <w:sz w:val="28"/>
                <w:szCs w:val="28"/>
              </w:rPr>
              <w:t xml:space="preserve">едставляет в орган,  осуществляющий открытие и ведение лицевых счетов, документ-основание в форме электронной копии, созданной посредством сканирования, подтвержденной электронной цифровой подписью уполномоченного лица получателя средств, либо на бумажном носителе. </w:t>
            </w:r>
          </w:p>
          <w:p w:rsidR="009A2823" w:rsidRPr="009A2823" w:rsidRDefault="009A2823" w:rsidP="009A2823">
            <w:pPr>
              <w:pageBreakBefore/>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Прилагаемый к Заявке документ-основание на бумажном носителе подлежит возврату получателю средств.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7. При санкционировании оплаты денежных обязательств по расходам, осуществляется проверка Заявки по следующим направлениям: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1) коды классификации расходов бюджета Коуракского сельсовета Тогучинского района Новосибирской области,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2)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3) не превышение указанного в Заявке авансового платежа предельному размеру авансового платежа, установленному действующим законодательством, в случае представления Заявки для оплаты денежных обязательств по муниципальным контрактам на поставку товаров, выполнение работ, оказание услуг;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4) соответствие содержания операции, исходя из документа-основания, коду КОСГУ и содержанию текста назначения платежа, </w:t>
            </w:r>
            <w:proofErr w:type="gramStart"/>
            <w:r w:rsidRPr="009A2823">
              <w:rPr>
                <w:rFonts w:ascii="Times New Roman" w:eastAsia="Calibri" w:hAnsi="Times New Roman" w:cs="Times New Roman"/>
                <w:color w:val="000000"/>
                <w:sz w:val="28"/>
                <w:szCs w:val="28"/>
              </w:rPr>
              <w:t>указанным</w:t>
            </w:r>
            <w:proofErr w:type="gramEnd"/>
            <w:r w:rsidRPr="009A2823">
              <w:rPr>
                <w:rFonts w:ascii="Times New Roman" w:eastAsia="Calibri" w:hAnsi="Times New Roman" w:cs="Times New Roman"/>
                <w:color w:val="000000"/>
                <w:sz w:val="28"/>
                <w:szCs w:val="28"/>
              </w:rPr>
              <w:t xml:space="preserve"> в Заявке;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5) не превышение сумм в Заявке остатков соответствующих предельных объемов финансирования, учтенных на лицевом счете получателя средств;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8. </w:t>
            </w:r>
            <w:proofErr w:type="gramStart"/>
            <w:r w:rsidRPr="009A2823">
              <w:rPr>
                <w:rFonts w:ascii="Times New Roman" w:eastAsia="Calibri" w:hAnsi="Times New Roman" w:cs="Times New Roman"/>
                <w:color w:val="000000"/>
                <w:sz w:val="28"/>
                <w:szCs w:val="28"/>
              </w:rPr>
              <w:t>В случае если форма или информация, указанная в Заявке, не соответствуют требованиям, установленным пунктами 4, 5, 9 настоящего Порядка, орган, осуществляющий открытие и ведение лицевых счетов,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не позднее срока,  установленного пунктом 3 настоящего Порядка, экземпляры Заявки на бумажном носителе  с указанием</w:t>
            </w:r>
            <w:proofErr w:type="gramEnd"/>
            <w:r w:rsidRPr="009A2823">
              <w:rPr>
                <w:rFonts w:ascii="Times New Roman" w:eastAsia="Calibri" w:hAnsi="Times New Roman" w:cs="Times New Roman"/>
                <w:color w:val="000000"/>
                <w:sz w:val="28"/>
                <w:szCs w:val="28"/>
              </w:rPr>
              <w:t xml:space="preserve">  в прилагаемом  Протоколе  (код по КФД 0531805) в установленном порядке причины возврата. </w:t>
            </w:r>
          </w:p>
          <w:p w:rsidR="009A2823" w:rsidRPr="009A2823" w:rsidRDefault="009A2823" w:rsidP="009A2823">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823">
              <w:rPr>
                <w:rFonts w:ascii="Times New Roman" w:eastAsia="Calibri" w:hAnsi="Times New Roman" w:cs="Times New Roman"/>
                <w:color w:val="000000"/>
                <w:sz w:val="28"/>
                <w:szCs w:val="28"/>
              </w:rPr>
              <w:t xml:space="preserve">    В случае если Заявка представлялась в электронном виде, получателю средств не позднее срока, установленного пунктом 3 настоящего Порядка, направляется  Протокол  в  электронном виде,  в котором указывается причина возврата. </w:t>
            </w:r>
          </w:p>
        </w:tc>
        <w:bookmarkStart w:id="0" w:name="_GoBack"/>
        <w:bookmarkEnd w:id="0"/>
      </w:tr>
    </w:tbl>
    <w:p w:rsidR="00A453BC" w:rsidRDefault="00A453BC"/>
    <w:sectPr w:rsidR="00A453BC" w:rsidSect="009A282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2B"/>
    <w:rsid w:val="000A1162"/>
    <w:rsid w:val="0065362B"/>
    <w:rsid w:val="009A2823"/>
    <w:rsid w:val="00A453BC"/>
    <w:rsid w:val="00C5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1088-6E28-4D35-AC83-C2C736D4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Kourak</cp:lastModifiedBy>
  <cp:revision>3</cp:revision>
  <dcterms:created xsi:type="dcterms:W3CDTF">2016-12-20T01:49:00Z</dcterms:created>
  <dcterms:modified xsi:type="dcterms:W3CDTF">2016-12-20T01:49:00Z</dcterms:modified>
</cp:coreProperties>
</file>