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D5B" w:rsidRPr="004A2DA1" w:rsidRDefault="00491D5B" w:rsidP="00491D5B">
      <w:pPr>
        <w:spacing w:line="240" w:lineRule="auto"/>
        <w:ind w:firstLine="709"/>
        <w:rPr>
          <w:b/>
          <w:sz w:val="28"/>
          <w:szCs w:val="28"/>
        </w:rPr>
      </w:pPr>
      <w:r w:rsidRPr="00491D5B">
        <w:rPr>
          <w:b/>
          <w:sz w:val="28"/>
          <w:szCs w:val="28"/>
        </w:rPr>
        <w:t>Как через интернет подать запрос на получение выписки из ЕГРН?</w:t>
      </w:r>
    </w:p>
    <w:p w:rsidR="00491D5B" w:rsidRDefault="00491D5B" w:rsidP="00491D5B">
      <w:pPr>
        <w:spacing w:line="240" w:lineRule="auto"/>
        <w:ind w:firstLine="709"/>
        <w:rPr>
          <w:sz w:val="24"/>
          <w:szCs w:val="24"/>
        </w:rPr>
      </w:pPr>
      <w:r>
        <w:rPr>
          <w:sz w:val="24"/>
          <w:szCs w:val="24"/>
        </w:rPr>
        <w:t>Единый государственный реестр недвижимости (ЕГРН) содержит полную и актуальную информацию об объектах недвижимости на территории страны.</w:t>
      </w:r>
      <w:r w:rsidRPr="00A858B7">
        <w:rPr>
          <w:sz w:val="24"/>
          <w:szCs w:val="24"/>
        </w:rPr>
        <w:t xml:space="preserve"> </w:t>
      </w:r>
      <w:r>
        <w:rPr>
          <w:sz w:val="24"/>
          <w:szCs w:val="24"/>
        </w:rPr>
        <w:t>Чтобы получить информацию о конкретном объекте, необходимо заказать выписку сведений из ЕГРН.</w:t>
      </w:r>
      <w:r w:rsidRPr="00A858B7">
        <w:rPr>
          <w:sz w:val="24"/>
          <w:szCs w:val="24"/>
        </w:rPr>
        <w:t xml:space="preserve"> Выписка является подтверждающим документом для осуществления процедур в сфере оформления недвижимости. Выписки могут быть разные: о кадастровой стоимости, о переходе прав, о содержании правоустанавли</w:t>
      </w:r>
      <w:r w:rsidR="006E111D">
        <w:rPr>
          <w:sz w:val="24"/>
          <w:szCs w:val="24"/>
        </w:rPr>
        <w:t xml:space="preserve">вающих документов и др. Выписка </w:t>
      </w:r>
      <w:r w:rsidRPr="00A858B7">
        <w:rPr>
          <w:sz w:val="24"/>
          <w:szCs w:val="24"/>
        </w:rPr>
        <w:t>сведений из ЕГРН предоставляется по специальному запросу, который можно оформить в офисах центра «</w:t>
      </w:r>
      <w:hyperlink r:id="rId8" w:history="1">
        <w:r w:rsidRPr="00804CA9">
          <w:rPr>
            <w:rStyle w:val="a9"/>
            <w:sz w:val="24"/>
            <w:szCs w:val="24"/>
          </w:rPr>
          <w:t>Мои Документы</w:t>
        </w:r>
      </w:hyperlink>
      <w:r w:rsidRPr="00A858B7">
        <w:rPr>
          <w:sz w:val="24"/>
          <w:szCs w:val="24"/>
        </w:rPr>
        <w:t xml:space="preserve">» или на официальном сайте </w:t>
      </w:r>
      <w:hyperlink r:id="rId9" w:history="1">
        <w:r w:rsidRPr="00804CA9">
          <w:rPr>
            <w:rStyle w:val="a9"/>
            <w:sz w:val="24"/>
            <w:szCs w:val="24"/>
          </w:rPr>
          <w:t>Росреестра</w:t>
        </w:r>
      </w:hyperlink>
      <w:r w:rsidRPr="00A858B7">
        <w:rPr>
          <w:sz w:val="24"/>
          <w:szCs w:val="24"/>
        </w:rPr>
        <w:t>. Второй вариант предполагает самостоятельное формирование запроса через интернет.</w:t>
      </w:r>
    </w:p>
    <w:p w:rsidR="00491D5B" w:rsidRDefault="00491D5B" w:rsidP="00491D5B">
      <w:pPr>
        <w:spacing w:line="240" w:lineRule="auto"/>
        <w:ind w:firstLine="709"/>
        <w:rPr>
          <w:sz w:val="24"/>
          <w:szCs w:val="24"/>
        </w:rPr>
      </w:pPr>
      <w:r w:rsidRPr="004A2DA1">
        <w:rPr>
          <w:sz w:val="24"/>
          <w:szCs w:val="24"/>
        </w:rPr>
        <w:t xml:space="preserve">Чтобы подать запрос на получение выписки через интернет, следует выполнить определенный алгоритм действий. На главной странице портала </w:t>
      </w:r>
      <w:hyperlink r:id="rId10" w:history="1">
        <w:r w:rsidRPr="00804CA9">
          <w:rPr>
            <w:rStyle w:val="a9"/>
            <w:sz w:val="24"/>
            <w:szCs w:val="24"/>
          </w:rPr>
          <w:t>Росреестра</w:t>
        </w:r>
      </w:hyperlink>
      <w:r w:rsidRPr="004A2DA1">
        <w:rPr>
          <w:sz w:val="24"/>
          <w:szCs w:val="24"/>
        </w:rPr>
        <w:t xml:space="preserve"> перейти в раздел «</w:t>
      </w:r>
      <w:hyperlink r:id="rId11" w:history="1">
        <w:r w:rsidRPr="00804CA9">
          <w:rPr>
            <w:rStyle w:val="a9"/>
            <w:sz w:val="24"/>
            <w:szCs w:val="24"/>
          </w:rPr>
          <w:t>Электронные услуги и сервисы</w:t>
        </w:r>
      </w:hyperlink>
      <w:r w:rsidRPr="004A2DA1">
        <w:rPr>
          <w:sz w:val="24"/>
          <w:szCs w:val="24"/>
        </w:rPr>
        <w:t>», выбрать «</w:t>
      </w:r>
      <w:hyperlink r:id="rId12" w:history="1">
        <w:r w:rsidRPr="00804CA9">
          <w:rPr>
            <w:rStyle w:val="a9"/>
            <w:sz w:val="24"/>
            <w:szCs w:val="24"/>
          </w:rPr>
          <w:t>Получение сведений ЕГРН</w:t>
        </w:r>
      </w:hyperlink>
      <w:r w:rsidRPr="004A2DA1">
        <w:rPr>
          <w:sz w:val="24"/>
          <w:szCs w:val="24"/>
        </w:rPr>
        <w:t>». Справа в меню представлены виды выписок, доступные для запроса посредством портала. Алгоритм получения каждой выписки одинаков: после выбора нужного вида выписки появляется форма запроса для заполнения. Форма предполагает обязательный ввод информации о типе объекта и адрес. Также можно указать кадастровый (или условный) номер объекта. Заявителю нужно выбрать способ предоставления сведений: бумажный документ или ссылка на электронный документ. Далее следует заполнить сведения о заявителе или его законном представителе: ФИО, СНИЛС, паспортные данные, номер телефона и адрес электронной почты</w:t>
      </w:r>
      <w:r>
        <w:rPr>
          <w:sz w:val="24"/>
          <w:szCs w:val="24"/>
        </w:rPr>
        <w:t>, а также при необходимости почтовый адрес.</w:t>
      </w:r>
      <w:r w:rsidRPr="004A2DA1">
        <w:rPr>
          <w:sz w:val="24"/>
          <w:szCs w:val="24"/>
        </w:rPr>
        <w:t xml:space="preserve"> Для перехода на следующий шаг заполнения формы </w:t>
      </w:r>
      <w:r>
        <w:rPr>
          <w:sz w:val="24"/>
          <w:szCs w:val="24"/>
        </w:rPr>
        <w:t xml:space="preserve">нужно </w:t>
      </w:r>
      <w:r w:rsidRPr="004A2DA1">
        <w:rPr>
          <w:sz w:val="24"/>
          <w:szCs w:val="24"/>
        </w:rPr>
        <w:t xml:space="preserve">обязательно дать согласие на передачу персональных данных, поставив галочку. Далее следует загрузить необходимые документы для получения сведений ограниченного доступа. При загрузке документов представителем заявителя обязательна нотариально заверенная доверенность. После заполнения формы и загрузки документов происходит проверка данных. </w:t>
      </w:r>
    </w:p>
    <w:p w:rsidR="00491D5B" w:rsidRDefault="00491D5B" w:rsidP="00491D5B">
      <w:pPr>
        <w:spacing w:line="240" w:lineRule="auto"/>
        <w:ind w:firstLine="709"/>
        <w:rPr>
          <w:sz w:val="24"/>
          <w:szCs w:val="24"/>
        </w:rPr>
      </w:pPr>
      <w:r>
        <w:rPr>
          <w:sz w:val="24"/>
          <w:szCs w:val="24"/>
        </w:rPr>
        <w:t xml:space="preserve">Электронные сервисы Росреестра призваны упрощать порядок получения государственных услуг и улучшать качество их предоставления. Использование </w:t>
      </w:r>
      <w:proofErr w:type="spellStart"/>
      <w:proofErr w:type="gramStart"/>
      <w:r>
        <w:rPr>
          <w:sz w:val="24"/>
          <w:szCs w:val="24"/>
        </w:rPr>
        <w:t>интернет-сервисов</w:t>
      </w:r>
      <w:proofErr w:type="spellEnd"/>
      <w:proofErr w:type="gramEnd"/>
      <w:r>
        <w:rPr>
          <w:sz w:val="24"/>
          <w:szCs w:val="24"/>
        </w:rPr>
        <w:t xml:space="preserve"> ведомства позволяет минимизировать временные и финансовые затраты.</w:t>
      </w:r>
    </w:p>
    <w:p w:rsidR="00491D5B" w:rsidRPr="00491D5B" w:rsidRDefault="00491D5B" w:rsidP="00491D5B">
      <w:pPr>
        <w:spacing w:line="240" w:lineRule="auto"/>
        <w:ind w:firstLine="709"/>
        <w:jc w:val="right"/>
        <w:rPr>
          <w:i/>
          <w:sz w:val="20"/>
          <w:szCs w:val="20"/>
        </w:rPr>
      </w:pPr>
      <w:r w:rsidRPr="00491D5B">
        <w:rPr>
          <w:i/>
          <w:sz w:val="20"/>
          <w:szCs w:val="20"/>
        </w:rPr>
        <w:t>Материал предоставлен пресс-службой Кадастровой палаты по Новосибирской области.</w:t>
      </w:r>
    </w:p>
    <w:p w:rsidR="00D82973" w:rsidRDefault="00D82973" w:rsidP="00D82973">
      <w:pPr>
        <w:spacing w:after="0" w:line="240" w:lineRule="auto"/>
        <w:ind w:left="142"/>
        <w:jc w:val="both"/>
        <w:rPr>
          <w:sz w:val="18"/>
          <w:szCs w:val="18"/>
        </w:rPr>
      </w:pPr>
    </w:p>
    <w:p w:rsidR="00A8510D" w:rsidRPr="00D82973" w:rsidRDefault="00A8510D" w:rsidP="00D82973">
      <w:pPr>
        <w:spacing w:after="0" w:line="240" w:lineRule="auto"/>
        <w:ind w:left="142"/>
        <w:jc w:val="both"/>
        <w:rPr>
          <w:sz w:val="18"/>
          <w:szCs w:val="18"/>
        </w:rPr>
      </w:pPr>
    </w:p>
    <w:sectPr w:rsidR="00A8510D" w:rsidRPr="00D82973" w:rsidSect="00B94D63">
      <w:headerReference w:type="even" r:id="rId13"/>
      <w:headerReference w:type="default" r:id="rId14"/>
      <w:footerReference w:type="default" r:id="rId15"/>
      <w:head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59D" w:rsidRDefault="00A7059D" w:rsidP="00A7059D">
      <w:pPr>
        <w:spacing w:after="0" w:line="240" w:lineRule="auto"/>
      </w:pPr>
      <w:r>
        <w:separator/>
      </w:r>
    </w:p>
  </w:endnote>
  <w:endnote w:type="continuationSeparator" w:id="0">
    <w:p w:rsidR="00A7059D" w:rsidRDefault="00A7059D" w:rsidP="00A70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40B" w:rsidRDefault="006C740B" w:rsidP="006C740B">
    <w:pPr>
      <w:spacing w:after="0" w:line="240" w:lineRule="auto"/>
      <w:ind w:left="142" w:firstLine="284"/>
      <w:jc w:val="right"/>
      <w:rPr>
        <w:rFonts w:eastAsia="Calibri" w:cs="Segoe UI"/>
        <w:sz w:val="17"/>
        <w:szCs w:val="17"/>
        <w:lang w:eastAsia="en-US"/>
      </w:rPr>
    </w:pPr>
    <w:r>
      <w:rPr>
        <w:rFonts w:eastAsia="Calibri" w:cs="Segoe UI"/>
        <w:sz w:val="17"/>
        <w:szCs w:val="17"/>
        <w:lang w:eastAsia="en-US"/>
      </w:rPr>
      <w:t>Контакты пресс-службы</w:t>
    </w:r>
  </w:p>
  <w:p w:rsidR="006C740B" w:rsidRDefault="002866C7" w:rsidP="006C740B">
    <w:pPr>
      <w:spacing w:after="0" w:line="240" w:lineRule="auto"/>
      <w:ind w:left="142" w:firstLine="284"/>
      <w:jc w:val="right"/>
      <w:rPr>
        <w:rFonts w:cs="Times New Roman"/>
        <w:sz w:val="17"/>
        <w:szCs w:val="17"/>
      </w:rPr>
    </w:pPr>
    <w:r>
      <w:rPr>
        <w:rFonts w:cs="Times New Roman"/>
        <w:sz w:val="17"/>
        <w:szCs w:val="17"/>
      </w:rPr>
      <w:t>Кадастровой палаты</w:t>
    </w:r>
  </w:p>
  <w:p w:rsidR="006C740B" w:rsidRPr="00266DBD" w:rsidRDefault="006C740B" w:rsidP="006C740B">
    <w:pPr>
      <w:spacing w:after="0" w:line="240" w:lineRule="auto"/>
      <w:ind w:left="142" w:firstLine="284"/>
      <w:jc w:val="right"/>
      <w:rPr>
        <w:rFonts w:eastAsia="Calibri" w:cs="Segoe UI"/>
        <w:sz w:val="17"/>
        <w:szCs w:val="17"/>
        <w:lang w:eastAsia="en-US"/>
      </w:rPr>
    </w:pPr>
    <w:r w:rsidRPr="00266DBD">
      <w:rPr>
        <w:rFonts w:cs="Times New Roman"/>
        <w:sz w:val="17"/>
        <w:szCs w:val="17"/>
      </w:rPr>
      <w:t>по Новосибирской области</w:t>
    </w:r>
    <w:r w:rsidRPr="00266DBD">
      <w:rPr>
        <w:rFonts w:eastAsia="Calibri" w:cs="Segoe UI"/>
        <w:sz w:val="17"/>
        <w:szCs w:val="17"/>
        <w:lang w:eastAsia="en-US"/>
      </w:rPr>
      <w:t>:</w:t>
    </w:r>
  </w:p>
  <w:p w:rsidR="006C740B" w:rsidRPr="00266DBD" w:rsidRDefault="006C740B" w:rsidP="006C740B">
    <w:pPr>
      <w:spacing w:after="0" w:line="240" w:lineRule="auto"/>
      <w:ind w:left="142" w:firstLine="284"/>
      <w:jc w:val="right"/>
      <w:rPr>
        <w:rFonts w:eastAsia="Calibri" w:cs="Segoe UI"/>
        <w:sz w:val="17"/>
        <w:szCs w:val="17"/>
        <w:lang w:eastAsia="en-US"/>
      </w:rPr>
    </w:pPr>
    <w:r w:rsidRPr="00266DBD">
      <w:rPr>
        <w:rFonts w:eastAsia="Calibri" w:cs="Segoe UI"/>
        <w:sz w:val="17"/>
        <w:szCs w:val="17"/>
        <w:lang w:eastAsia="en-US"/>
      </w:rPr>
      <w:t>(383) 347-59-49</w:t>
    </w:r>
  </w:p>
  <w:p w:rsidR="006C740B" w:rsidRPr="006C740B" w:rsidRDefault="0008751E" w:rsidP="006C740B">
    <w:pPr>
      <w:spacing w:after="0" w:line="240" w:lineRule="auto"/>
      <w:ind w:left="142" w:firstLine="284"/>
      <w:jc w:val="right"/>
      <w:rPr>
        <w:sz w:val="17"/>
        <w:szCs w:val="17"/>
      </w:rPr>
    </w:pPr>
    <w:hyperlink r:id="rId1" w:history="1">
      <w:r w:rsidR="001205AE" w:rsidRPr="005B5F9B">
        <w:rPr>
          <w:rStyle w:val="a9"/>
          <w:sz w:val="17"/>
          <w:szCs w:val="17"/>
          <w:lang w:val="en-US"/>
        </w:rPr>
        <w:t>press</w:t>
      </w:r>
      <w:r w:rsidR="001205AE" w:rsidRPr="005B5F9B">
        <w:rPr>
          <w:rStyle w:val="a9"/>
          <w:sz w:val="17"/>
          <w:szCs w:val="17"/>
        </w:rPr>
        <w:t>@54.</w:t>
      </w:r>
      <w:r w:rsidR="001205AE" w:rsidRPr="005B5F9B">
        <w:rPr>
          <w:rStyle w:val="a9"/>
          <w:sz w:val="17"/>
          <w:szCs w:val="17"/>
          <w:lang w:val="en-US"/>
        </w:rPr>
        <w:t>kadastr</w:t>
      </w:r>
      <w:r w:rsidR="001205AE" w:rsidRPr="005B5F9B">
        <w:rPr>
          <w:rStyle w:val="a9"/>
          <w:sz w:val="17"/>
          <w:szCs w:val="17"/>
        </w:rPr>
        <w:t>.</w:t>
      </w:r>
      <w:r w:rsidR="001205AE" w:rsidRPr="005B5F9B">
        <w:rPr>
          <w:rStyle w:val="a9"/>
          <w:sz w:val="17"/>
          <w:szCs w:val="17"/>
          <w:lang w:val="en-US"/>
        </w:rPr>
        <w:t>ru</w:t>
      </w:r>
    </w:hyperlink>
  </w:p>
  <w:p w:rsidR="00266DBD" w:rsidRDefault="00266D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59D" w:rsidRDefault="00A7059D" w:rsidP="00A7059D">
      <w:pPr>
        <w:spacing w:after="0" w:line="240" w:lineRule="auto"/>
      </w:pPr>
      <w:r>
        <w:separator/>
      </w:r>
    </w:p>
  </w:footnote>
  <w:footnote w:type="continuationSeparator" w:id="0">
    <w:p w:rsidR="00A7059D" w:rsidRDefault="00A7059D" w:rsidP="00A70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59D" w:rsidRDefault="0008751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1688" o:spid="_x0000_s2053" type="#_x0000_t75" style="position:absolute;margin-left:0;margin-top:0;width:467.65pt;height:454.85pt;z-index:-251657216;mso-position-horizontal:center;mso-position-horizontal-relative:margin;mso-position-vertical:center;mso-position-vertical-relative:margin" o:allowincell="f">
          <v:imagedata r:id="rId1" o:title="logo_1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15E" w:rsidRDefault="00A8510D">
    <w:pPr>
      <w:pStyle w:val="a3"/>
    </w:pPr>
    <w:r>
      <w:rPr>
        <w:noProof/>
        <w:lang w:eastAsia="ru-RU"/>
      </w:rPr>
      <w:drawing>
        <wp:inline distT="0" distB="0" distL="0" distR="0">
          <wp:extent cx="1940155" cy="790575"/>
          <wp:effectExtent l="19050" t="0" r="2945" b="0"/>
          <wp:docPr id="1" name="Рисунок 2" descr="\\Serv9\_ОБМЕН_\_Отдел контроля и Анализа\!СМИ\ИЗОБРАЖЕНИЯ\Logo FK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9\_ОБМЕН_\_Отдел контроля и Анализа\!СМИ\ИЗОБРАЖЕНИЯ\Logo FKP.jpg"/>
                  <pic:cNvPicPr>
                    <a:picLocks noChangeAspect="1" noChangeArrowheads="1"/>
                  </pic:cNvPicPr>
                </pic:nvPicPr>
                <pic:blipFill>
                  <a:blip r:embed="rId1"/>
                  <a:srcRect/>
                  <a:stretch>
                    <a:fillRect/>
                  </a:stretch>
                </pic:blipFill>
                <pic:spPr bwMode="auto">
                  <a:xfrm>
                    <a:off x="0" y="0"/>
                    <a:ext cx="1940155" cy="790575"/>
                  </a:xfrm>
                  <a:prstGeom prst="rect">
                    <a:avLst/>
                  </a:prstGeom>
                  <a:noFill/>
                  <a:ln w="9525">
                    <a:noFill/>
                    <a:miter lim="800000"/>
                    <a:headEnd/>
                    <a:tailEnd/>
                  </a:ln>
                </pic:spPr>
              </pic:pic>
            </a:graphicData>
          </a:graphic>
        </wp:inline>
      </w:drawing>
    </w:r>
  </w:p>
  <w:p w:rsidR="00A7059D" w:rsidRDefault="00A7059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59D" w:rsidRDefault="0008751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1687" o:spid="_x0000_s2052" type="#_x0000_t75" style="position:absolute;margin-left:0;margin-top:0;width:467.65pt;height:454.85pt;z-index:-251658240;mso-position-horizontal:center;mso-position-horizontal-relative:margin;mso-position-vertical:center;mso-position-vertical-relative:margin" o:allowincell="f">
          <v:imagedata r:id="rId1" o:title="logo_1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5pt;height:.75pt;visibility:visible;mso-wrap-style:square" o:bullet="t">
        <v:imagedata r:id="rId1" o:title="👍"/>
      </v:shape>
    </w:pict>
  </w:numPicBullet>
  <w:abstractNum w:abstractNumId="0">
    <w:nsid w:val="59537B36"/>
    <w:multiLevelType w:val="hybridMultilevel"/>
    <w:tmpl w:val="80C0AEC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C907D3"/>
    <w:multiLevelType w:val="hybridMultilevel"/>
    <w:tmpl w:val="9A5C3848"/>
    <w:lvl w:ilvl="0" w:tplc="2B68C0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C9122F1"/>
    <w:multiLevelType w:val="hybridMultilevel"/>
    <w:tmpl w:val="810AF6E0"/>
    <w:lvl w:ilvl="0" w:tplc="74E2A31C">
      <w:start w:val="1"/>
      <w:numFmt w:val="bullet"/>
      <w:lvlText w:val=""/>
      <w:lvlPicBulletId w:val="0"/>
      <w:lvlJc w:val="left"/>
      <w:pPr>
        <w:tabs>
          <w:tab w:val="num" w:pos="928"/>
        </w:tabs>
        <w:ind w:left="928" w:hanging="360"/>
      </w:pPr>
      <w:rPr>
        <w:rFonts w:ascii="Symbol" w:hAnsi="Symbol" w:hint="default"/>
      </w:rPr>
    </w:lvl>
    <w:lvl w:ilvl="1" w:tplc="D458AF0A" w:tentative="1">
      <w:start w:val="1"/>
      <w:numFmt w:val="bullet"/>
      <w:lvlText w:val=""/>
      <w:lvlJc w:val="left"/>
      <w:pPr>
        <w:tabs>
          <w:tab w:val="num" w:pos="1648"/>
        </w:tabs>
        <w:ind w:left="1648" w:hanging="360"/>
      </w:pPr>
      <w:rPr>
        <w:rFonts w:ascii="Symbol" w:hAnsi="Symbol" w:hint="default"/>
      </w:rPr>
    </w:lvl>
    <w:lvl w:ilvl="2" w:tplc="9574302C" w:tentative="1">
      <w:start w:val="1"/>
      <w:numFmt w:val="bullet"/>
      <w:lvlText w:val=""/>
      <w:lvlJc w:val="left"/>
      <w:pPr>
        <w:tabs>
          <w:tab w:val="num" w:pos="2368"/>
        </w:tabs>
        <w:ind w:left="2368" w:hanging="360"/>
      </w:pPr>
      <w:rPr>
        <w:rFonts w:ascii="Symbol" w:hAnsi="Symbol" w:hint="default"/>
      </w:rPr>
    </w:lvl>
    <w:lvl w:ilvl="3" w:tplc="8DBE5AC0" w:tentative="1">
      <w:start w:val="1"/>
      <w:numFmt w:val="bullet"/>
      <w:lvlText w:val=""/>
      <w:lvlJc w:val="left"/>
      <w:pPr>
        <w:tabs>
          <w:tab w:val="num" w:pos="3088"/>
        </w:tabs>
        <w:ind w:left="3088" w:hanging="360"/>
      </w:pPr>
      <w:rPr>
        <w:rFonts w:ascii="Symbol" w:hAnsi="Symbol" w:hint="default"/>
      </w:rPr>
    </w:lvl>
    <w:lvl w:ilvl="4" w:tplc="F3BC1B82" w:tentative="1">
      <w:start w:val="1"/>
      <w:numFmt w:val="bullet"/>
      <w:lvlText w:val=""/>
      <w:lvlJc w:val="left"/>
      <w:pPr>
        <w:tabs>
          <w:tab w:val="num" w:pos="3808"/>
        </w:tabs>
        <w:ind w:left="3808" w:hanging="360"/>
      </w:pPr>
      <w:rPr>
        <w:rFonts w:ascii="Symbol" w:hAnsi="Symbol" w:hint="default"/>
      </w:rPr>
    </w:lvl>
    <w:lvl w:ilvl="5" w:tplc="C4D0F090" w:tentative="1">
      <w:start w:val="1"/>
      <w:numFmt w:val="bullet"/>
      <w:lvlText w:val=""/>
      <w:lvlJc w:val="left"/>
      <w:pPr>
        <w:tabs>
          <w:tab w:val="num" w:pos="4528"/>
        </w:tabs>
        <w:ind w:left="4528" w:hanging="360"/>
      </w:pPr>
      <w:rPr>
        <w:rFonts w:ascii="Symbol" w:hAnsi="Symbol" w:hint="default"/>
      </w:rPr>
    </w:lvl>
    <w:lvl w:ilvl="6" w:tplc="4698BD4C" w:tentative="1">
      <w:start w:val="1"/>
      <w:numFmt w:val="bullet"/>
      <w:lvlText w:val=""/>
      <w:lvlJc w:val="left"/>
      <w:pPr>
        <w:tabs>
          <w:tab w:val="num" w:pos="5248"/>
        </w:tabs>
        <w:ind w:left="5248" w:hanging="360"/>
      </w:pPr>
      <w:rPr>
        <w:rFonts w:ascii="Symbol" w:hAnsi="Symbol" w:hint="default"/>
      </w:rPr>
    </w:lvl>
    <w:lvl w:ilvl="7" w:tplc="830CE9C0" w:tentative="1">
      <w:start w:val="1"/>
      <w:numFmt w:val="bullet"/>
      <w:lvlText w:val=""/>
      <w:lvlJc w:val="left"/>
      <w:pPr>
        <w:tabs>
          <w:tab w:val="num" w:pos="5968"/>
        </w:tabs>
        <w:ind w:left="5968" w:hanging="360"/>
      </w:pPr>
      <w:rPr>
        <w:rFonts w:ascii="Symbol" w:hAnsi="Symbol" w:hint="default"/>
      </w:rPr>
    </w:lvl>
    <w:lvl w:ilvl="8" w:tplc="1C622730" w:tentative="1">
      <w:start w:val="1"/>
      <w:numFmt w:val="bullet"/>
      <w:lvlText w:val=""/>
      <w:lvlJc w:val="left"/>
      <w:pPr>
        <w:tabs>
          <w:tab w:val="num" w:pos="6688"/>
        </w:tabs>
        <w:ind w:left="6688"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A7059D"/>
    <w:rsid w:val="0008751E"/>
    <w:rsid w:val="001205AE"/>
    <w:rsid w:val="00170B0D"/>
    <w:rsid w:val="0018070E"/>
    <w:rsid w:val="00266DBD"/>
    <w:rsid w:val="002866C7"/>
    <w:rsid w:val="002D2570"/>
    <w:rsid w:val="00353854"/>
    <w:rsid w:val="003E6480"/>
    <w:rsid w:val="00405FF5"/>
    <w:rsid w:val="004126C1"/>
    <w:rsid w:val="00491D5B"/>
    <w:rsid w:val="004D7657"/>
    <w:rsid w:val="00543941"/>
    <w:rsid w:val="00551784"/>
    <w:rsid w:val="005A415E"/>
    <w:rsid w:val="0065402A"/>
    <w:rsid w:val="006C740B"/>
    <w:rsid w:val="006E111D"/>
    <w:rsid w:val="007B12EB"/>
    <w:rsid w:val="00806C7D"/>
    <w:rsid w:val="00831045"/>
    <w:rsid w:val="00831792"/>
    <w:rsid w:val="00864160"/>
    <w:rsid w:val="00A26900"/>
    <w:rsid w:val="00A7059D"/>
    <w:rsid w:val="00A8510D"/>
    <w:rsid w:val="00AF5AB7"/>
    <w:rsid w:val="00B94D63"/>
    <w:rsid w:val="00CB2D01"/>
    <w:rsid w:val="00D41200"/>
    <w:rsid w:val="00D82973"/>
    <w:rsid w:val="00E05B96"/>
    <w:rsid w:val="00EC76E5"/>
    <w:rsid w:val="00F07814"/>
    <w:rsid w:val="00F5080C"/>
    <w:rsid w:val="00F72F4B"/>
    <w:rsid w:val="00FA7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6E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59D"/>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A7059D"/>
  </w:style>
  <w:style w:type="paragraph" w:styleId="a5">
    <w:name w:val="footer"/>
    <w:basedOn w:val="a"/>
    <w:link w:val="a6"/>
    <w:uiPriority w:val="99"/>
    <w:unhideWhenUsed/>
    <w:rsid w:val="00A7059D"/>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A7059D"/>
  </w:style>
  <w:style w:type="paragraph" w:styleId="a7">
    <w:name w:val="Balloon Text"/>
    <w:basedOn w:val="a"/>
    <w:link w:val="a8"/>
    <w:uiPriority w:val="99"/>
    <w:semiHidden/>
    <w:unhideWhenUsed/>
    <w:rsid w:val="00A705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059D"/>
    <w:rPr>
      <w:rFonts w:ascii="Tahoma" w:hAnsi="Tahoma" w:cs="Tahoma"/>
      <w:sz w:val="16"/>
      <w:szCs w:val="16"/>
    </w:rPr>
  </w:style>
  <w:style w:type="character" w:styleId="a9">
    <w:name w:val="Hyperlink"/>
    <w:basedOn w:val="a0"/>
    <w:uiPriority w:val="99"/>
    <w:unhideWhenUsed/>
    <w:rsid w:val="00EC76E5"/>
    <w:rPr>
      <w:color w:val="0000FF" w:themeColor="hyperlink"/>
      <w:u w:val="single"/>
    </w:rPr>
  </w:style>
  <w:style w:type="paragraph" w:styleId="aa">
    <w:name w:val="List Paragraph"/>
    <w:basedOn w:val="a"/>
    <w:link w:val="ab"/>
    <w:uiPriority w:val="99"/>
    <w:qFormat/>
    <w:rsid w:val="00F5080C"/>
    <w:pPr>
      <w:ind w:left="720"/>
      <w:contextualSpacing/>
    </w:pPr>
    <w:rPr>
      <w:rFonts w:eastAsiaTheme="minorHAnsi"/>
      <w:lang w:eastAsia="en-US"/>
    </w:rPr>
  </w:style>
  <w:style w:type="paragraph" w:customStyle="1" w:styleId="ConsPlusNormal">
    <w:name w:val="ConsPlusNormal"/>
    <w:rsid w:val="00F5080C"/>
    <w:pPr>
      <w:autoSpaceDE w:val="0"/>
      <w:autoSpaceDN w:val="0"/>
      <w:adjustRightInd w:val="0"/>
      <w:spacing w:after="0" w:line="240" w:lineRule="auto"/>
    </w:pPr>
    <w:rPr>
      <w:rFonts w:ascii="Calibri" w:hAnsi="Calibri" w:cs="Calibri"/>
      <w:sz w:val="24"/>
      <w:szCs w:val="24"/>
    </w:rPr>
  </w:style>
  <w:style w:type="paragraph" w:styleId="ac">
    <w:name w:val="Normal (Web)"/>
    <w:basedOn w:val="a"/>
    <w:uiPriority w:val="99"/>
    <w:unhideWhenUsed/>
    <w:rsid w:val="00F50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Абзац списка Знак"/>
    <w:basedOn w:val="a0"/>
    <w:link w:val="aa"/>
    <w:uiPriority w:val="99"/>
    <w:locked/>
    <w:rsid w:val="00F508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fc-nso.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sreestr.ru/wps/portal/p/cc_present/EGRN_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ru/site/eservi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osreestr.ru/site/" TargetMode="External"/><Relationship Id="rId4" Type="http://schemas.openxmlformats.org/officeDocument/2006/relationships/settings" Target="settings.xml"/><Relationship Id="rId9" Type="http://schemas.openxmlformats.org/officeDocument/2006/relationships/hyperlink" Target="https://rosreestr.ru/sit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press@54.kadastr.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A3894-AC76-41BD-A929-4529DC85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Korotich_SA</dc:creator>
  <cp:keywords/>
  <dc:description/>
  <cp:lastModifiedBy>Sidorova_LV</cp:lastModifiedBy>
  <cp:revision>37</cp:revision>
  <dcterms:created xsi:type="dcterms:W3CDTF">2016-04-07T02:40:00Z</dcterms:created>
  <dcterms:modified xsi:type="dcterms:W3CDTF">2019-01-21T03:17:00Z</dcterms:modified>
</cp:coreProperties>
</file>