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F0" w:rsidRPr="00F144F0" w:rsidRDefault="00F144F0" w:rsidP="00F1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56ECD">
        <w:rPr>
          <w:rFonts w:ascii="Times New Roman" w:eastAsia="Calibri" w:hAnsi="Times New Roman" w:cs="Calibri"/>
          <w:sz w:val="28"/>
          <w:szCs w:val="28"/>
          <w:lang w:eastAsia="ru-RU"/>
        </w:rPr>
        <w:t>АДМИНИСТРАЦИЯ</w:t>
      </w: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56ECD">
        <w:rPr>
          <w:rFonts w:ascii="Times New Roman" w:eastAsia="Calibri" w:hAnsi="Times New Roman" w:cs="Calibri"/>
          <w:sz w:val="28"/>
          <w:szCs w:val="28"/>
          <w:lang w:eastAsia="ru-RU"/>
        </w:rPr>
        <w:t>КОУРАКСКОГО СЕЛЬСОВЕТА</w:t>
      </w: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56ECD">
        <w:rPr>
          <w:rFonts w:ascii="Times New Roman" w:eastAsia="Calibri" w:hAnsi="Times New Roman" w:cs="Calibri"/>
          <w:sz w:val="28"/>
          <w:szCs w:val="28"/>
          <w:lang w:eastAsia="ru-RU"/>
        </w:rPr>
        <w:t>ТОГУЧИНСКОГО РАЙОНА</w:t>
      </w: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56ECD">
        <w:rPr>
          <w:rFonts w:ascii="Times New Roman" w:eastAsia="Calibri" w:hAnsi="Times New Roman" w:cs="Calibri"/>
          <w:sz w:val="28"/>
          <w:szCs w:val="28"/>
          <w:lang w:eastAsia="ru-RU"/>
        </w:rPr>
        <w:t>НОВОСИБИРСКОЙ ОБЛАСТИ</w:t>
      </w: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56ECD" w:rsidRPr="00756ECD" w:rsidRDefault="00756ECD" w:rsidP="00756ECD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56ECD">
        <w:rPr>
          <w:rFonts w:ascii="Times New Roman" w:eastAsia="Calibri" w:hAnsi="Times New Roman" w:cs="Calibri"/>
          <w:sz w:val="28"/>
          <w:szCs w:val="28"/>
          <w:lang w:eastAsia="ru-RU"/>
        </w:rPr>
        <w:t>ПОСТАНОВЛЕНИЕ</w:t>
      </w:r>
    </w:p>
    <w:p w:rsidR="00756ECD" w:rsidRPr="00756ECD" w:rsidRDefault="00756ECD" w:rsidP="00756EC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CD" w:rsidRPr="00756ECD" w:rsidRDefault="00756ECD" w:rsidP="00756E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№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67/93.011</w:t>
      </w:r>
    </w:p>
    <w:p w:rsidR="00756ECD" w:rsidRPr="00756ECD" w:rsidRDefault="00756ECD" w:rsidP="00756ECD">
      <w:pPr>
        <w:tabs>
          <w:tab w:val="left" w:pos="41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Коурак</w:t>
      </w:r>
    </w:p>
    <w:p w:rsidR="00F87BB9" w:rsidRDefault="00F87BB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7BB9" w:rsidRDefault="00F87BB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исполнения решения о применении бюджетных мер принуждения</w:t>
      </w:r>
    </w:p>
    <w:p w:rsidR="00F87BB9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306.2 </w:t>
      </w:r>
      <w:hyperlink r:id="rId6" w:tgtFrame="_blank" w:history="1">
        <w:r w:rsidRPr="00756E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исполнения решения о применении бюджетных мер принуждения.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</w:t>
      </w:r>
      <w:r w:rsidR="00040BE6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печатном издании «</w:t>
      </w:r>
      <w:proofErr w:type="spellStart"/>
      <w:r w:rsid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Коуракский</w:t>
      </w:r>
      <w:proofErr w:type="spell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администрации, курирующего финансовые вопросы.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7BB9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7BB9" w:rsidRPr="00756ECD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CD" w:rsidRPr="00756ECD" w:rsidRDefault="00756ECD" w:rsidP="00756E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Коуракского сельсовета</w:t>
      </w:r>
    </w:p>
    <w:p w:rsidR="00756ECD" w:rsidRPr="00756ECD" w:rsidRDefault="00756ECD" w:rsidP="00756E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756ECD" w:rsidRPr="00756ECD" w:rsidRDefault="00756ECD" w:rsidP="00756E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Слотин</w:t>
      </w:r>
      <w:proofErr w:type="spellEnd"/>
    </w:p>
    <w:p w:rsidR="00756ECD" w:rsidRPr="00756ECD" w:rsidRDefault="00756ECD" w:rsidP="00756E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756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144F0" w:rsidRPr="00756ECD" w:rsidRDefault="00756ECD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Коуракского </w:t>
      </w:r>
      <w:r w:rsidR="00F144F0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Тогучинского района 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 </w:t>
      </w:r>
    </w:p>
    <w:p w:rsidR="00F144F0" w:rsidRPr="00756ECD" w:rsidRDefault="00756ECD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F144F0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6.2022 </w:t>
      </w:r>
      <w:r w:rsidR="00040BE6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67/93.011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исполнения решения о применении бюджетных мер принуждения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исполнения решения финансового органа - администрации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части полномочий главного распорядителя, распорядителя и получателя бюджетных средств).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Ревизионной комиссией Тогучинского района Новосибирской области, администрацией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исполнения решения о приостановлении (сокращении) предоставления межбюджетных трансфертов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Ревизионную комиссию Тогучинского 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r w:rsidR="00040BE6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доведения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2 рабочих дней со дня принятия решения о возобновлении.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2 рабочих дней со дня принятия соответствующего решения.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пунктами 6 и 10 настоящего Порядка, прикладываются документы, подтверждающие факт устранения бюджетного нарушения.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  <w:proofErr w:type="gramEnd"/>
    </w:p>
    <w:p w:rsidR="00F87BB9" w:rsidRPr="00756ECD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87BB9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исполнения решения о бесспорном взыскании</w:t>
      </w:r>
    </w:p>
    <w:p w:rsidR="00F87BB9" w:rsidRPr="00756ECD" w:rsidRDefault="00F87BB9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принятом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органа финансового контроля, главного распорядителя бюджетных средств.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Исполнение решения о взыскании осуществляется в срок, установленный пунктом 2 настоящего Порядка.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 соответствующего бюджета бюджетной системы Российской Федерации.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E6" w:rsidRPr="00756ECD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E6" w:rsidRPr="00756ECD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E6" w:rsidRPr="00756ECD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E6" w:rsidRPr="00756ECD" w:rsidRDefault="00040BE6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756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B9" w:rsidRPr="00756ECD" w:rsidRDefault="00F87BB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исполнения решения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 мер принуждения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возобновлении предоставления межбюджетных трансфертов из местного бюджета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администрация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Возобновить предоставление межбюджетных трансфертов из местного бюджета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Тогучинского 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Тогучинского района Новосибирской области от «__» ________ 20__ № ____ «_______________________________», (далее – решение) с «__» _________ 20__ года.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_____________________________________: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структурного подразделения)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довести в установленный пунктом 1 настоящего постановления срок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главного распорядителя средств местного бюджета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Тогучинского района Новосибирской области)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2 рабочих дней довести настоящее постановление до сведения__________________________________________________________.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главного распорядителя средств местного бюджета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предоставившего межбюджетный трансферт</w:t>
      </w:r>
      <w:proofErr w:type="gramEnd"/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Уполномоченному специалисту  администрации  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Тогучинского района Новосибирской области 1 разряда </w:t>
      </w:r>
      <w:proofErr w:type="spellStart"/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Черногузовой</w:t>
      </w:r>
      <w:proofErr w:type="spellEnd"/>
      <w:r w:rsidR="00756ECD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Ю.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D50DF9" w:rsidRPr="00756ECD" w:rsidRDefault="00F144F0" w:rsidP="009D5F8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5F85" w:rsidRPr="009D5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распоряжения оставляю  за собой.</w:t>
      </w:r>
    </w:p>
    <w:p w:rsidR="009D5F85" w:rsidRPr="00756ECD" w:rsidRDefault="009D5F85" w:rsidP="009D5F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Коуракского сельсовета</w:t>
      </w:r>
    </w:p>
    <w:p w:rsidR="009D5F85" w:rsidRPr="00756ECD" w:rsidRDefault="009D5F85" w:rsidP="009D5F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9D5F85" w:rsidRPr="00756ECD" w:rsidRDefault="009D5F85" w:rsidP="009D5F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Слотин</w:t>
      </w:r>
      <w:proofErr w:type="spellEnd"/>
    </w:p>
    <w:p w:rsidR="009D5F85" w:rsidRPr="00756ECD" w:rsidRDefault="009D5F85" w:rsidP="009D5F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F85" w:rsidRPr="00756ECD" w:rsidRDefault="009D5F85" w:rsidP="009D5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исполнения решения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 мер принуждения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приостановлении (не сокращении) предоставления межбюджетных </w:t>
      </w:r>
      <w:r w:rsidR="009D5F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из местного бюджета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85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="009D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r w:rsidR="009D5F85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администрация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приостанавливать (не сокращать) предоставление межбюджетных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 из местного бюджета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="00CF525B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от «__» ________ 20__ № ____ «_______________________________».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="00CF525B"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Тогучинского района Новосибирской области от «__» ________ 20__ № ____ «___________».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 в течение 2 рабочих дней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структурного подразделения)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настоящее постановление до сведения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органа муниципального финансового контроля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направившего уведомление о применении бюджетных мер принуждения, главного распоря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средств местного бюджета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25B"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предоставившего межбюджетный трансферт)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Коуракского сельсовета</w:t>
      </w: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Слотин</w:t>
      </w:r>
      <w:proofErr w:type="spellEnd"/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исполнения решения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 мер принуждения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Управления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казначейства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F144F0" w:rsidRPr="00756ECD" w:rsidRDefault="00F144F0" w:rsidP="003648CE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бесспорном взыскании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и размер средств, подлежащих взысканию)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доходов, подлежащих зачислению в бюджет __________________________________________________________________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публично-правового образования)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Приложение: постановление администрации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от «__» ________ 20__ № ____ «____________________» на __ л. в __ экз.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исполнения решения</w:t>
      </w:r>
    </w:p>
    <w:p w:rsidR="00F144F0" w:rsidRPr="00756ECD" w:rsidRDefault="00F144F0" w:rsidP="00F144F0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 бюджетных мер принуждения</w:t>
      </w:r>
    </w:p>
    <w:p w:rsidR="00D50DF9" w:rsidRPr="00756ECD" w:rsidRDefault="00D50DF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DF9" w:rsidRPr="00756ECD" w:rsidRDefault="00D50DF9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4F0" w:rsidRPr="00756ECD" w:rsidRDefault="00F144F0" w:rsidP="00F144F0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возврате средств, взысканных в доход местного бюджета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Тогучинского района Новосибирской области в бесспорном порядке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Осуществить возврат в бюджет ____________________________________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публично-правового образования)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 средств, взысканн</w:t>
      </w:r>
      <w:bookmarkStart w:id="0" w:name="_GoBack"/>
      <w:bookmarkEnd w:id="0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соответствии с решением о применении бюджетных мер принуждения, утвержденным постановлением администрации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от «__» _________ 20__ № ______ «_________________________________________», с «__» _________ 20__ года.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 в течение 2 рабочих дней: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структурного подразделения)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направить настоящее постановление ________________________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______________________________________________________________;(наименование главного администратора доходов местного бюджета </w:t>
      </w:r>
      <w:r w:rsidR="00C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области, на счет которого были зачислены средства, взысканные в бесспорном порядке)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довести настоящее постановление до сведения _________________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финансового органа публично-правового образования)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 оставляю за собой.</w:t>
      </w:r>
    </w:p>
    <w:p w:rsidR="00F144F0" w:rsidRPr="00756ECD" w:rsidRDefault="00F144F0" w:rsidP="00F144F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44F0" w:rsidRPr="00756ECD" w:rsidRDefault="00F144F0" w:rsidP="00F14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Коуракского сельсовета</w:t>
      </w: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CF525B" w:rsidRPr="00756ECD" w:rsidRDefault="00CF525B" w:rsidP="00CF525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     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6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Слотин</w:t>
      </w:r>
      <w:proofErr w:type="spellEnd"/>
    </w:p>
    <w:p w:rsidR="002B1324" w:rsidRPr="00756ECD" w:rsidRDefault="002B1324" w:rsidP="00CF525B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</w:rPr>
      </w:pPr>
    </w:p>
    <w:sectPr w:rsidR="002B1324" w:rsidRPr="0075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1">
    <w:nsid w:val="38456A0A"/>
    <w:multiLevelType w:val="hybridMultilevel"/>
    <w:tmpl w:val="ED50C6E2"/>
    <w:lvl w:ilvl="0" w:tplc="8864016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6370A"/>
    <w:multiLevelType w:val="hybridMultilevel"/>
    <w:tmpl w:val="2C3E8C12"/>
    <w:lvl w:ilvl="0" w:tplc="2B44135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9A"/>
    <w:rsid w:val="00040BE6"/>
    <w:rsid w:val="00131C13"/>
    <w:rsid w:val="002B1324"/>
    <w:rsid w:val="003648CE"/>
    <w:rsid w:val="00747D0C"/>
    <w:rsid w:val="00756ECD"/>
    <w:rsid w:val="008B072A"/>
    <w:rsid w:val="009D5F85"/>
    <w:rsid w:val="00CF525B"/>
    <w:rsid w:val="00D50DF9"/>
    <w:rsid w:val="00DF19FE"/>
    <w:rsid w:val="00E5049A"/>
    <w:rsid w:val="00F144F0"/>
    <w:rsid w:val="00F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F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4F0"/>
    <w:pPr>
      <w:ind w:left="720"/>
      <w:contextualSpacing/>
    </w:pPr>
  </w:style>
  <w:style w:type="paragraph" w:styleId="a4">
    <w:name w:val="Normal (Web)"/>
    <w:aliases w:val="Обычный (Web), Знак Знак10,Знак Знак10"/>
    <w:basedOn w:val="a"/>
    <w:link w:val="a5"/>
    <w:uiPriority w:val="99"/>
    <w:unhideWhenUsed/>
    <w:qFormat/>
    <w:rsid w:val="00F144F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 Знак Знак10 Знак,Знак Знак10 Знак"/>
    <w:link w:val="a4"/>
    <w:uiPriority w:val="99"/>
    <w:locked/>
    <w:rsid w:val="00F144F0"/>
    <w:rPr>
      <w:rFonts w:ascii="Calibri" w:eastAsia="Times New Roman" w:hAnsi="Calibri" w:cs="Calibri"/>
      <w:sz w:val="24"/>
      <w:szCs w:val="24"/>
      <w:lang w:eastAsia="ru-RU"/>
    </w:rPr>
  </w:style>
  <w:style w:type="character" w:styleId="a6">
    <w:name w:val="Strong"/>
    <w:uiPriority w:val="22"/>
    <w:qFormat/>
    <w:rsid w:val="00131C13"/>
    <w:rPr>
      <w:b/>
      <w:bCs/>
    </w:rPr>
  </w:style>
  <w:style w:type="paragraph" w:customStyle="1" w:styleId="1">
    <w:name w:val="Обычный1"/>
    <w:qFormat/>
    <w:rsid w:val="00747D0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7">
    <w:name w:val="Balloon Text"/>
    <w:basedOn w:val="a"/>
    <w:link w:val="a8"/>
    <w:uiPriority w:val="99"/>
    <w:semiHidden/>
    <w:unhideWhenUsed/>
    <w:rsid w:val="007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Сурковского</dc:creator>
  <cp:lastModifiedBy>User</cp:lastModifiedBy>
  <cp:revision>3</cp:revision>
  <cp:lastPrinted>2021-03-16T06:13:00Z</cp:lastPrinted>
  <dcterms:created xsi:type="dcterms:W3CDTF">2022-06-15T05:39:00Z</dcterms:created>
  <dcterms:modified xsi:type="dcterms:W3CDTF">2022-06-15T05:42:00Z</dcterms:modified>
</cp:coreProperties>
</file>